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46E61" w14:textId="4196E4E3" w:rsidR="00540922" w:rsidRDefault="00540922" w:rsidP="00F72CFA">
      <w:pPr>
        <w:jc w:val="center"/>
        <w:rPr>
          <w:b/>
          <w:bCs/>
        </w:rPr>
      </w:pPr>
      <w:proofErr w:type="spellStart"/>
      <w:r w:rsidRPr="00540922">
        <w:rPr>
          <w:b/>
          <w:bCs/>
        </w:rPr>
        <w:t>NextSeq</w:t>
      </w:r>
      <w:proofErr w:type="spellEnd"/>
      <w:r w:rsidRPr="00540922">
        <w:rPr>
          <w:b/>
          <w:bCs/>
        </w:rPr>
        <w:t xml:space="preserve"> 2000 Sequencing Protocol:</w:t>
      </w:r>
    </w:p>
    <w:p w14:paraId="70942AE8" w14:textId="77777777" w:rsidR="00F72CFA" w:rsidRDefault="00F72CFA" w:rsidP="00F72CFA">
      <w:pPr>
        <w:jc w:val="center"/>
        <w:rPr>
          <w:b/>
          <w:bCs/>
        </w:rPr>
      </w:pPr>
    </w:p>
    <w:p w14:paraId="30360F97" w14:textId="03667703" w:rsidR="0062102E" w:rsidRPr="00A8309D" w:rsidRDefault="00A8309D" w:rsidP="00A8309D">
      <w:pPr>
        <w:rPr>
          <w:b/>
          <w:bCs/>
        </w:rPr>
      </w:pPr>
      <w:r w:rsidRPr="00A8309D">
        <w:rPr>
          <w:b/>
          <w:bCs/>
        </w:rPr>
        <w:t>1.</w:t>
      </w:r>
      <w:r>
        <w:rPr>
          <w:b/>
          <w:bCs/>
        </w:rPr>
        <w:t xml:space="preserve"> </w:t>
      </w:r>
      <w:r w:rsidR="0062102E" w:rsidRPr="00A8309D">
        <w:rPr>
          <w:b/>
          <w:bCs/>
        </w:rPr>
        <w:t>Thawing Reagent Cartridge:</w:t>
      </w:r>
    </w:p>
    <w:p w14:paraId="4EFDACB5" w14:textId="1176AD1D" w:rsidR="0062102E" w:rsidRDefault="00A8309D" w:rsidP="00A8309D">
      <w:pPr>
        <w:pStyle w:val="ListParagraph"/>
        <w:numPr>
          <w:ilvl w:val="0"/>
          <w:numId w:val="2"/>
        </w:numPr>
      </w:pPr>
      <w:r>
        <w:t xml:space="preserve">The day prior to setting up the sequencing run, take the reagent cartridge out of </w:t>
      </w:r>
      <w:r w:rsidR="00CA4C36">
        <w:t xml:space="preserve">the </w:t>
      </w:r>
      <w:r>
        <w:t xml:space="preserve">-20°C freezer and thaw </w:t>
      </w:r>
      <w:r w:rsidRPr="00F02217">
        <w:rPr>
          <w:b/>
          <w:bCs/>
          <w:u w:val="single"/>
        </w:rPr>
        <w:t>upright</w:t>
      </w:r>
      <w:r>
        <w:t xml:space="preserve"> for 6 hours at room temperature. </w:t>
      </w:r>
    </w:p>
    <w:p w14:paraId="60BD12F3" w14:textId="4F332FFA" w:rsidR="00A8309D" w:rsidRDefault="00A8309D" w:rsidP="00A8309D">
      <w:pPr>
        <w:pStyle w:val="ListParagraph"/>
        <w:numPr>
          <w:ilvl w:val="0"/>
          <w:numId w:val="2"/>
        </w:numPr>
      </w:pPr>
      <w:r>
        <w:t xml:space="preserve">After 6 hours, store reagent cartridge at 4°C </w:t>
      </w:r>
      <w:r w:rsidRPr="00F02217">
        <w:rPr>
          <w:b/>
          <w:bCs/>
          <w:u w:val="single"/>
        </w:rPr>
        <w:t>upright</w:t>
      </w:r>
      <w:r>
        <w:t xml:space="preserve"> overnight. </w:t>
      </w:r>
    </w:p>
    <w:p w14:paraId="3FB0A8B6" w14:textId="77777777" w:rsidR="00111A5F" w:rsidRDefault="00111A5F" w:rsidP="00111A5F"/>
    <w:p w14:paraId="5D2D9CB2" w14:textId="108B3E1A" w:rsidR="00111A5F" w:rsidRPr="00111A5F" w:rsidRDefault="00111A5F" w:rsidP="00111A5F">
      <w:pPr>
        <w:rPr>
          <w:b/>
          <w:bCs/>
        </w:rPr>
      </w:pPr>
      <w:r w:rsidRPr="00111A5F">
        <w:rPr>
          <w:b/>
          <w:bCs/>
        </w:rPr>
        <w:t xml:space="preserve">2. Preparing Run on </w:t>
      </w:r>
      <w:proofErr w:type="spellStart"/>
      <w:r w:rsidRPr="00111A5F">
        <w:rPr>
          <w:b/>
          <w:bCs/>
        </w:rPr>
        <w:t>Basespace</w:t>
      </w:r>
      <w:proofErr w:type="spellEnd"/>
      <w:r w:rsidRPr="00111A5F">
        <w:rPr>
          <w:b/>
          <w:bCs/>
        </w:rPr>
        <w:t>:</w:t>
      </w:r>
    </w:p>
    <w:p w14:paraId="72B31779" w14:textId="76B4F506" w:rsidR="00111A5F" w:rsidRDefault="00111A5F" w:rsidP="00111A5F">
      <w:pPr>
        <w:pStyle w:val="ListParagraph"/>
        <w:numPr>
          <w:ilvl w:val="0"/>
          <w:numId w:val="3"/>
        </w:numPr>
      </w:pPr>
      <w:r>
        <w:t xml:space="preserve">Login to </w:t>
      </w:r>
      <w:proofErr w:type="spellStart"/>
      <w:r>
        <w:t>Basespace</w:t>
      </w:r>
      <w:proofErr w:type="spellEnd"/>
      <w:r>
        <w:t xml:space="preserve">, be sure to be on </w:t>
      </w:r>
      <w:proofErr w:type="spellStart"/>
      <w:r>
        <w:t>Boston_College</w:t>
      </w:r>
      <w:proofErr w:type="spellEnd"/>
      <w:r>
        <w:t xml:space="preserve"> workgroup</w:t>
      </w:r>
    </w:p>
    <w:p w14:paraId="18CB3A8F" w14:textId="206F08DC" w:rsidR="00111A5F" w:rsidRDefault="00111A5F" w:rsidP="00111A5F">
      <w:pPr>
        <w:pStyle w:val="ListParagraph"/>
        <w:numPr>
          <w:ilvl w:val="0"/>
          <w:numId w:val="3"/>
        </w:numPr>
      </w:pPr>
      <w:r>
        <w:t xml:space="preserve">Run </w:t>
      </w:r>
      <w:r>
        <w:sym w:font="Wingdings" w:char="F0E0"/>
      </w:r>
      <w:r>
        <w:t xml:space="preserve"> New Run </w:t>
      </w:r>
      <w:r>
        <w:sym w:font="Wingdings" w:char="F0E0"/>
      </w:r>
      <w:r>
        <w:t xml:space="preserve"> Run Planning</w:t>
      </w:r>
    </w:p>
    <w:p w14:paraId="2D243F75" w14:textId="4E2A3716" w:rsidR="00111A5F" w:rsidRDefault="00111A5F" w:rsidP="00111A5F">
      <w:pPr>
        <w:pStyle w:val="ListParagraph"/>
        <w:numPr>
          <w:ilvl w:val="0"/>
          <w:numId w:val="3"/>
        </w:numPr>
      </w:pPr>
      <w:r>
        <w:t xml:space="preserve">Fill out form with unique run name (include date), set instrument to </w:t>
      </w:r>
      <w:proofErr w:type="spellStart"/>
      <w:r>
        <w:t>NextSeq</w:t>
      </w:r>
      <w:proofErr w:type="spellEnd"/>
      <w:r>
        <w:t xml:space="preserve"> 1000/2000 and secondary analysis to </w:t>
      </w:r>
      <w:proofErr w:type="spellStart"/>
      <w:r>
        <w:t>Basespace</w:t>
      </w:r>
      <w:proofErr w:type="spellEnd"/>
      <w:r w:rsidR="009D3B0C">
        <w:t xml:space="preserve">. </w:t>
      </w:r>
    </w:p>
    <w:p w14:paraId="77004FDC" w14:textId="0A6F2027" w:rsidR="00111A5F" w:rsidRDefault="009D3B0C" w:rsidP="00111A5F">
      <w:pPr>
        <w:pStyle w:val="ListParagraph"/>
        <w:numPr>
          <w:ilvl w:val="0"/>
          <w:numId w:val="3"/>
        </w:numPr>
      </w:pPr>
      <w:r>
        <w:t xml:space="preserve">Application is usually DRAGEN BCL convert (will convert data to </w:t>
      </w:r>
      <w:proofErr w:type="spellStart"/>
      <w:r>
        <w:t>fastq</w:t>
      </w:r>
      <w:proofErr w:type="spellEnd"/>
      <w:r>
        <w:t xml:space="preserve"> files), lots of other analysis available (single-cell </w:t>
      </w:r>
      <w:proofErr w:type="spellStart"/>
      <w:r>
        <w:t>RNAseq</w:t>
      </w:r>
      <w:proofErr w:type="spellEnd"/>
      <w:r>
        <w:t xml:space="preserve">, amplicon seq, </w:t>
      </w:r>
      <w:proofErr w:type="spellStart"/>
      <w:r>
        <w:t>DEseq</w:t>
      </w:r>
      <w:proofErr w:type="spellEnd"/>
      <w:r>
        <w:t xml:space="preserve">, </w:t>
      </w:r>
      <w:proofErr w:type="spellStart"/>
      <w:r>
        <w:t>etc</w:t>
      </w:r>
      <w:proofErr w:type="spellEnd"/>
      <w:r>
        <w:t>)</w:t>
      </w:r>
    </w:p>
    <w:p w14:paraId="4C3EF7CE" w14:textId="608F8777" w:rsidR="009D3B0C" w:rsidRDefault="009D3B0C" w:rsidP="00111A5F">
      <w:pPr>
        <w:pStyle w:val="ListParagraph"/>
        <w:numPr>
          <w:ilvl w:val="0"/>
          <w:numId w:val="3"/>
        </w:numPr>
      </w:pPr>
      <w:r>
        <w:t xml:space="preserve">Select appropriate library prep kit and adapter kit </w:t>
      </w:r>
    </w:p>
    <w:p w14:paraId="06CF9095" w14:textId="618DC389" w:rsidR="009D3B0C" w:rsidRDefault="009D3B0C" w:rsidP="009D3B0C">
      <w:pPr>
        <w:pStyle w:val="ListParagraph"/>
        <w:numPr>
          <w:ilvl w:val="1"/>
          <w:numId w:val="3"/>
        </w:numPr>
      </w:pPr>
      <w:r>
        <w:t>If custom library prep kit (common), set both to “Not Specified”</w:t>
      </w:r>
    </w:p>
    <w:p w14:paraId="50DBAC77" w14:textId="17DF7007" w:rsidR="009D3B0C" w:rsidRDefault="00D05218" w:rsidP="00111A5F">
      <w:pPr>
        <w:pStyle w:val="ListParagraph"/>
        <w:numPr>
          <w:ilvl w:val="0"/>
          <w:numId w:val="3"/>
        </w:numPr>
      </w:pPr>
      <w:r>
        <w:t xml:space="preserve">Input sequencing setup: # indexes, # reads, how many reads for each, </w:t>
      </w:r>
      <w:proofErr w:type="spellStart"/>
      <w:r>
        <w:t>etc</w:t>
      </w:r>
      <w:proofErr w:type="spellEnd"/>
    </w:p>
    <w:p w14:paraId="0D0CB4C1" w14:textId="77777777" w:rsidR="00D05218" w:rsidRDefault="00D05218" w:rsidP="00111A5F">
      <w:pPr>
        <w:pStyle w:val="ListParagraph"/>
        <w:numPr>
          <w:ilvl w:val="0"/>
          <w:numId w:val="3"/>
        </w:numPr>
      </w:pPr>
      <w:r>
        <w:t>Override Cycles determine what a base is. Y = data, I = index, U = UMI and N = disregard.</w:t>
      </w:r>
    </w:p>
    <w:p w14:paraId="3E2C9BAB" w14:textId="15546B87" w:rsidR="00D05218" w:rsidRDefault="00D05218" w:rsidP="00611C7B">
      <w:pPr>
        <w:pStyle w:val="ListParagraph"/>
        <w:numPr>
          <w:ilvl w:val="1"/>
          <w:numId w:val="3"/>
        </w:numPr>
      </w:pPr>
      <w:r>
        <w:t xml:space="preserve">Usually don’t have, </w:t>
      </w:r>
      <w:proofErr w:type="spellStart"/>
      <w:r>
        <w:t>Basespace</w:t>
      </w:r>
      <w:proofErr w:type="spellEnd"/>
      <w:r>
        <w:t xml:space="preserve"> will automatically make Read1/2 = Y and Index1/2 = I.</w:t>
      </w:r>
    </w:p>
    <w:p w14:paraId="7002DC2A" w14:textId="325AF9CE" w:rsidR="00D05218" w:rsidRDefault="00F02217" w:rsidP="00111A5F">
      <w:pPr>
        <w:pStyle w:val="ListParagraph"/>
        <w:numPr>
          <w:ilvl w:val="0"/>
          <w:numId w:val="3"/>
        </w:numPr>
      </w:pPr>
      <w:r>
        <w:t xml:space="preserve">Add enough rows to fill in samples. Give </w:t>
      </w:r>
      <w:r w:rsidRPr="00F02217">
        <w:rPr>
          <w:b/>
          <w:bCs/>
          <w:u w:val="single"/>
        </w:rPr>
        <w:t>unique</w:t>
      </w:r>
      <w:r>
        <w:t xml:space="preserve"> name to each sample. Name must be unique within this sample and across </w:t>
      </w:r>
      <w:proofErr w:type="spellStart"/>
      <w:r>
        <w:t>Boston_College</w:t>
      </w:r>
      <w:proofErr w:type="spellEnd"/>
      <w:r>
        <w:t xml:space="preserve"> workgroup</w:t>
      </w:r>
      <w:r w:rsidR="00132D72">
        <w:t>.</w:t>
      </w:r>
    </w:p>
    <w:p w14:paraId="6D178B82" w14:textId="1AA37A6D" w:rsidR="00132D72" w:rsidRDefault="00907DAF" w:rsidP="00111A5F">
      <w:pPr>
        <w:pStyle w:val="ListParagraph"/>
        <w:numPr>
          <w:ilvl w:val="0"/>
          <w:numId w:val="3"/>
        </w:numPr>
      </w:pPr>
      <w:r>
        <w:t xml:space="preserve">Input both Index1 (i7) and Index2 (i5) sequences in the </w:t>
      </w:r>
      <w:r w:rsidRPr="00907DAF">
        <w:rPr>
          <w:b/>
          <w:bCs/>
          <w:u w:val="single"/>
        </w:rPr>
        <w:t>forward orientation</w:t>
      </w:r>
      <w:r>
        <w:t xml:space="preserve">. </w:t>
      </w:r>
    </w:p>
    <w:p w14:paraId="654A9A7A" w14:textId="78302C31" w:rsidR="00907DAF" w:rsidRDefault="00907DAF" w:rsidP="00BE0EFE">
      <w:pPr>
        <w:pStyle w:val="ListParagraph"/>
        <w:numPr>
          <w:ilvl w:val="1"/>
          <w:numId w:val="3"/>
        </w:numPr>
      </w:pPr>
      <w:r>
        <w:t xml:space="preserve">Note: Index2 (i5) is sequenced in the reverse orientation, but Run Planning knows this and </w:t>
      </w:r>
      <w:r w:rsidR="000774D0">
        <w:t xml:space="preserve">will take the reverse complement before converting to </w:t>
      </w:r>
      <w:proofErr w:type="spellStart"/>
      <w:r w:rsidR="000774D0">
        <w:t>Fastq</w:t>
      </w:r>
      <w:proofErr w:type="spellEnd"/>
      <w:r w:rsidR="000774D0">
        <w:t xml:space="preserve">. </w:t>
      </w:r>
    </w:p>
    <w:p w14:paraId="37934A56" w14:textId="443BEF73" w:rsidR="000774D0" w:rsidRDefault="000774D0" w:rsidP="00BE0EFE">
      <w:pPr>
        <w:pStyle w:val="ListParagraph"/>
        <w:numPr>
          <w:ilvl w:val="2"/>
          <w:numId w:val="3"/>
        </w:numPr>
      </w:pPr>
      <w:r>
        <w:t xml:space="preserve">This is where the most mistakes are, if nothing is correctly demultiplexed it’s likely the i5 indexes were input in the reverse </w:t>
      </w:r>
      <w:r w:rsidR="00611C7B">
        <w:t>orientation</w:t>
      </w:r>
      <w:r>
        <w:t xml:space="preserve">. If this happens, create a new run through Run Planning with corrected indexes, save run and download sample sheet. Create a new project and upload the new sample sheet. Go to Apps </w:t>
      </w:r>
      <w:r>
        <w:sym w:font="Wingdings" w:char="F0E0"/>
      </w:r>
      <w:r>
        <w:t xml:space="preserve"> </w:t>
      </w:r>
      <w:r w:rsidR="00BE0EFE">
        <w:t xml:space="preserve">(unselect DRAGEN, all categories) </w:t>
      </w:r>
      <w:r w:rsidR="00BE0EFE">
        <w:sym w:font="Wingdings" w:char="F0E0"/>
      </w:r>
      <w:r w:rsidR="00BE0EFE">
        <w:t xml:space="preserve"> BCL Convert </w:t>
      </w:r>
      <w:r w:rsidR="00BE0EFE">
        <w:sym w:font="Wingdings" w:char="F0E0"/>
      </w:r>
      <w:r w:rsidR="00BE0EFE">
        <w:t xml:space="preserve"> select new sample sheet, select run</w:t>
      </w:r>
      <w:r w:rsidR="00AE11FD">
        <w:t xml:space="preserve">, go. </w:t>
      </w:r>
    </w:p>
    <w:p w14:paraId="2977EE10" w14:textId="21F9E6D9" w:rsidR="000774D0" w:rsidRDefault="000774D0" w:rsidP="00111A5F">
      <w:pPr>
        <w:pStyle w:val="ListParagraph"/>
        <w:numPr>
          <w:ilvl w:val="0"/>
          <w:numId w:val="3"/>
        </w:numPr>
      </w:pPr>
      <w:r>
        <w:t xml:space="preserve">Adapter Read1/2 determines what sequences will be cut from </w:t>
      </w:r>
      <w:proofErr w:type="spellStart"/>
      <w:r>
        <w:t>fastqs</w:t>
      </w:r>
      <w:proofErr w:type="spellEnd"/>
      <w:r>
        <w:t xml:space="preserve"> as they are a part of the Illumina adapters. Almost always leave blank unless very custom library of experienced user. </w:t>
      </w:r>
    </w:p>
    <w:p w14:paraId="780A48A9" w14:textId="4A90478B" w:rsidR="000774D0" w:rsidRDefault="000774D0" w:rsidP="00111A5F">
      <w:pPr>
        <w:pStyle w:val="ListParagraph"/>
        <w:numPr>
          <w:ilvl w:val="0"/>
          <w:numId w:val="3"/>
        </w:numPr>
      </w:pPr>
      <w:r>
        <w:t xml:space="preserve">BarcodeMismatches1/2 are </w:t>
      </w:r>
      <w:r w:rsidR="00AE11FD">
        <w:t xml:space="preserve"># of </w:t>
      </w:r>
      <w:r>
        <w:t>allowed mismatches to bin a read to a sample. I usually set to 1 for 6bp indexes, 2 for 8-10bp</w:t>
      </w:r>
      <w:r w:rsidR="00476ADF">
        <w:t xml:space="preserve"> indexes</w:t>
      </w:r>
      <w:r>
        <w:t xml:space="preserve">. </w:t>
      </w:r>
    </w:p>
    <w:p w14:paraId="486F3A8A" w14:textId="6B825663" w:rsidR="000774D0" w:rsidRDefault="000774D0" w:rsidP="00476ADF">
      <w:pPr>
        <w:pStyle w:val="ListParagraph"/>
        <w:numPr>
          <w:ilvl w:val="1"/>
          <w:numId w:val="3"/>
        </w:numPr>
      </w:pPr>
      <w:r>
        <w:t>Note: if single index</w:t>
      </w:r>
      <w:r w:rsidR="00476ADF">
        <w:t xml:space="preserve"> run</w:t>
      </w:r>
      <w:r>
        <w:t xml:space="preserve">, leave </w:t>
      </w:r>
      <w:proofErr w:type="spellStart"/>
      <w:r>
        <w:t>BarcodeMismatches</w:t>
      </w:r>
      <w:proofErr w:type="spellEnd"/>
      <w:r>
        <w:t xml:space="preserve"> to “Select”. Setting to any number including 0 will prevent demultiplexing. </w:t>
      </w:r>
    </w:p>
    <w:p w14:paraId="31592D5D" w14:textId="12B8E9FF" w:rsidR="000774D0" w:rsidRDefault="000774D0" w:rsidP="00111A5F">
      <w:pPr>
        <w:pStyle w:val="ListParagraph"/>
        <w:numPr>
          <w:ilvl w:val="0"/>
          <w:numId w:val="3"/>
        </w:numPr>
      </w:pPr>
      <w:r>
        <w:t>Save run as planned</w:t>
      </w:r>
    </w:p>
    <w:p w14:paraId="1AD2C8C3" w14:textId="77777777" w:rsidR="00121AD2" w:rsidRDefault="00121AD2" w:rsidP="00121AD2"/>
    <w:p w14:paraId="07E3EB98" w14:textId="3D679534" w:rsidR="00121AD2" w:rsidRDefault="00121AD2" w:rsidP="00121AD2">
      <w:pPr>
        <w:rPr>
          <w:b/>
          <w:bCs/>
        </w:rPr>
      </w:pPr>
      <w:r w:rsidRPr="00121AD2">
        <w:rPr>
          <w:b/>
          <w:bCs/>
        </w:rPr>
        <w:lastRenderedPageBreak/>
        <w:t xml:space="preserve">3. QC and </w:t>
      </w:r>
      <w:r w:rsidRPr="003C175A">
        <w:rPr>
          <w:b/>
          <w:bCs/>
        </w:rPr>
        <w:t>Run</w:t>
      </w:r>
      <w:r w:rsidRPr="00121AD2">
        <w:rPr>
          <w:b/>
          <w:bCs/>
        </w:rPr>
        <w:t xml:space="preserve"> Setup:</w:t>
      </w:r>
    </w:p>
    <w:p w14:paraId="1506FE33" w14:textId="1300375C" w:rsidR="003C175A" w:rsidRPr="00EC1CF5" w:rsidRDefault="007D6648" w:rsidP="00D9642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Run 2x </w:t>
      </w:r>
      <w:proofErr w:type="spellStart"/>
      <w:r>
        <w:t>TapeStations</w:t>
      </w:r>
      <w:proofErr w:type="spellEnd"/>
      <w:r>
        <w:t xml:space="preserve"> and 3x Qubits. Take the average of each and convert to molarity using the </w:t>
      </w:r>
      <w:hyperlink r:id="rId5" w:history="1">
        <w:r w:rsidRPr="007D6648">
          <w:rPr>
            <w:rStyle w:val="Hyperlink"/>
          </w:rPr>
          <w:t>Illumina Nanomolar Conversion</w:t>
        </w:r>
      </w:hyperlink>
      <w:r>
        <w:t xml:space="preserve"> calculator. </w:t>
      </w:r>
    </w:p>
    <w:p w14:paraId="508A4127" w14:textId="4AB8AFA9" w:rsidR="0020468B" w:rsidRPr="0020468B" w:rsidRDefault="00EC1CF5" w:rsidP="0020468B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If library is approximately correct size and above 2nM, take reagent cartridge, flow cell and RSB (and </w:t>
      </w:r>
      <w:proofErr w:type="spellStart"/>
      <w:r>
        <w:t>PhiX</w:t>
      </w:r>
      <w:proofErr w:type="spellEnd"/>
      <w:r>
        <w:t>, if using) out of 4°C (</w:t>
      </w:r>
      <w:proofErr w:type="spellStart"/>
      <w:r>
        <w:t>PhiX</w:t>
      </w:r>
      <w:proofErr w:type="spellEnd"/>
      <w:r>
        <w:t xml:space="preserve"> -20°C) </w:t>
      </w:r>
    </w:p>
    <w:p w14:paraId="0D471057" w14:textId="2DAE2DFF" w:rsidR="007D6648" w:rsidRPr="00954B2E" w:rsidRDefault="0020468B" w:rsidP="00D9642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From now on, </w:t>
      </w:r>
      <w:r w:rsidRPr="00803119">
        <w:rPr>
          <w:b/>
          <w:bCs/>
        </w:rPr>
        <w:t>only use filtered pipette tips and DNA LoBind tubes</w:t>
      </w:r>
      <w:r>
        <w:t xml:space="preserve">. </w:t>
      </w:r>
      <w:r w:rsidR="006E1074" w:rsidRPr="00954B2E">
        <w:rPr>
          <w:b/>
          <w:bCs/>
        </w:rPr>
        <w:t>Vortex all dilutions well.</w:t>
      </w:r>
    </w:p>
    <w:p w14:paraId="4EBFFD27" w14:textId="17B9A428" w:rsidR="0020468B" w:rsidRPr="00C8404E" w:rsidRDefault="0020468B" w:rsidP="0020468B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If </w:t>
      </w:r>
      <w:r w:rsidR="006E1074">
        <w:t>the library</w:t>
      </w:r>
      <w:r>
        <w:t xml:space="preserve"> is greater than 20nM, dilute to 20nM in 20uL using RSB, th</w:t>
      </w:r>
      <w:r w:rsidR="00C8404E">
        <w:t>en dilute to 2nM in 20uL using RSB.</w:t>
      </w:r>
    </w:p>
    <w:p w14:paraId="12BB040A" w14:textId="0E1834A0" w:rsidR="00C8404E" w:rsidRPr="0020468B" w:rsidRDefault="00C8404E" w:rsidP="00E81979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If </w:t>
      </w:r>
      <w:r w:rsidR="006E1074">
        <w:t>the library</w:t>
      </w:r>
      <w:r>
        <w:t xml:space="preserve"> is less than 20nM, dilute directly to 2nM in 20uL using RSB.</w:t>
      </w:r>
    </w:p>
    <w:p w14:paraId="78DD9173" w14:textId="57BC06FE" w:rsidR="0020468B" w:rsidRPr="00C8404E" w:rsidRDefault="00C8404E" w:rsidP="00D9642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Dilute library to final loading concentration (see table below) in 24uL using RSB. </w:t>
      </w:r>
    </w:p>
    <w:p w14:paraId="3A99C858" w14:textId="52933040" w:rsidR="00C8404E" w:rsidRPr="00C8404E" w:rsidRDefault="00C8404E" w:rsidP="006E1074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If unsure of what loading concentration to use, start with 650 </w:t>
      </w:r>
      <w:proofErr w:type="spellStart"/>
      <w:r>
        <w:t>pM</w:t>
      </w:r>
      <w:proofErr w:type="spellEnd"/>
      <w:r>
        <w:t xml:space="preserve">. </w:t>
      </w:r>
    </w:p>
    <w:p w14:paraId="1A033E3E" w14:textId="4C5A3928" w:rsidR="00C8404E" w:rsidRPr="00C8404E" w:rsidRDefault="00C8404E" w:rsidP="00D9642C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If using </w:t>
      </w:r>
      <w:proofErr w:type="spellStart"/>
      <w:r>
        <w:t>PhiX</w:t>
      </w:r>
      <w:proofErr w:type="spellEnd"/>
      <w:r>
        <w:t xml:space="preserve">, dilute from 10nM (stock) to 2nM in 10uL using RSB. </w:t>
      </w:r>
    </w:p>
    <w:p w14:paraId="4BFD848C" w14:textId="7897295B" w:rsidR="00C8404E" w:rsidRPr="00C8404E" w:rsidRDefault="00C8404E" w:rsidP="00C8404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Dilute 2nM </w:t>
      </w:r>
      <w:proofErr w:type="spellStart"/>
      <w:r>
        <w:t>PhiX</w:t>
      </w:r>
      <w:proofErr w:type="spellEnd"/>
      <w:r>
        <w:t xml:space="preserve"> to same concentration as final loading concentration.</w:t>
      </w:r>
    </w:p>
    <w:p w14:paraId="20D8F5F2" w14:textId="77777777" w:rsidR="00683629" w:rsidRPr="00683629" w:rsidRDefault="00C8404E" w:rsidP="00C8404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Determine % </w:t>
      </w:r>
      <w:proofErr w:type="spellStart"/>
      <w:r>
        <w:t>PhiX</w:t>
      </w:r>
      <w:proofErr w:type="spellEnd"/>
      <w:r>
        <w:t xml:space="preserve"> spike in: </w:t>
      </w:r>
    </w:p>
    <w:p w14:paraId="458E73CF" w14:textId="073B32CA" w:rsidR="00C8404E" w:rsidRPr="00C8404E" w:rsidRDefault="00683629" w:rsidP="00683629">
      <w:pPr>
        <w:pStyle w:val="ListParagraph"/>
        <w:numPr>
          <w:ilvl w:val="1"/>
          <w:numId w:val="4"/>
        </w:numPr>
        <w:rPr>
          <w:b/>
          <w:bCs/>
        </w:rPr>
      </w:pPr>
      <w:r>
        <w:t>U</w:t>
      </w:r>
      <w:r w:rsidR="00C8404E">
        <w:t xml:space="preserve">sually low (5-10%) will help run performance but for low diversity libraries (amplicons) you need to add a lot for color balance (usually 30-50%). Many kits/protocols specify. </w:t>
      </w:r>
    </w:p>
    <w:p w14:paraId="5CCF7729" w14:textId="615BB963" w:rsidR="00C8404E" w:rsidRPr="00C8404E" w:rsidRDefault="00C8404E" w:rsidP="00C8404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Remove the % of volume from the 24uL of final library and replace with the same volume of </w:t>
      </w:r>
      <w:proofErr w:type="spellStart"/>
      <w:r>
        <w:t>PhiX</w:t>
      </w:r>
      <w:proofErr w:type="spellEnd"/>
      <w:r w:rsidR="00803119">
        <w:t>. This is the final library to load.</w:t>
      </w:r>
    </w:p>
    <w:p w14:paraId="3981034C" w14:textId="2F316D30" w:rsidR="00C8404E" w:rsidRPr="00803119" w:rsidRDefault="00C8404E" w:rsidP="006E1074">
      <w:pPr>
        <w:pStyle w:val="ListParagraph"/>
        <w:numPr>
          <w:ilvl w:val="1"/>
          <w:numId w:val="4"/>
        </w:numPr>
        <w:rPr>
          <w:b/>
          <w:bCs/>
        </w:rPr>
      </w:pPr>
      <w:r>
        <w:t xml:space="preserve">Ex: 10% </w:t>
      </w:r>
      <w:proofErr w:type="spellStart"/>
      <w:r>
        <w:t>PhiX</w:t>
      </w:r>
      <w:proofErr w:type="spellEnd"/>
      <w:r>
        <w:t xml:space="preserve"> Spike, remove 2.4uL from 650pM library and replace with 2.4uL of 650pM </w:t>
      </w:r>
      <w:proofErr w:type="spellStart"/>
      <w:r>
        <w:t>PhiX</w:t>
      </w:r>
      <w:proofErr w:type="spellEnd"/>
    </w:p>
    <w:p w14:paraId="7BB22B54" w14:textId="53F26703" w:rsidR="00803119" w:rsidRPr="00803119" w:rsidRDefault="00803119" w:rsidP="00C8404E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Take the reagent cartridge out of the cardboard box, flip it 10x to mix the reagents. Cut out of foil seal. </w:t>
      </w:r>
    </w:p>
    <w:p w14:paraId="221526D7" w14:textId="54DFD129" w:rsidR="00803119" w:rsidRPr="00803119" w:rsidRDefault="00803119" w:rsidP="00C8404E">
      <w:pPr>
        <w:pStyle w:val="ListParagraph"/>
        <w:numPr>
          <w:ilvl w:val="0"/>
          <w:numId w:val="4"/>
        </w:numPr>
        <w:rPr>
          <w:b/>
          <w:bCs/>
        </w:rPr>
      </w:pPr>
      <w:r>
        <w:t>Pierce library slot with P1000 tip, load 20uL final library to bottom of the well.</w:t>
      </w:r>
    </w:p>
    <w:p w14:paraId="046119A1" w14:textId="7F23CC15" w:rsidR="00803119" w:rsidRPr="00803119" w:rsidRDefault="00803119" w:rsidP="0080311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Place flow cell into slot on the reagent cartridge. Leave </w:t>
      </w:r>
      <w:r w:rsidR="000F3ED9">
        <w:t>the plastic</w:t>
      </w:r>
      <w:r>
        <w:t xml:space="preserve"> cover on for now. </w:t>
      </w:r>
    </w:p>
    <w:p w14:paraId="195812A3" w14:textId="2B93F47E" w:rsidR="00803119" w:rsidRPr="00803119" w:rsidRDefault="00803119" w:rsidP="0080311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Bring to sequencer, log into </w:t>
      </w:r>
      <w:proofErr w:type="spellStart"/>
      <w:r>
        <w:t>Basespace</w:t>
      </w:r>
      <w:proofErr w:type="spellEnd"/>
      <w:r>
        <w:t xml:space="preserve">, select run and follow prompt on screen. </w:t>
      </w:r>
    </w:p>
    <w:p w14:paraId="25101182" w14:textId="492A48A6" w:rsidR="00803119" w:rsidRPr="00803119" w:rsidRDefault="00803119" w:rsidP="0080311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Remove plastic cover of flow cell and input cartridge when prompted. </w:t>
      </w:r>
    </w:p>
    <w:p w14:paraId="75B17519" w14:textId="49EE4979" w:rsidR="00803119" w:rsidRPr="00C1753D" w:rsidRDefault="00803119" w:rsidP="0080311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Need to wait ~5 min for initial checks to make sure reagent cartridge/flow cell are acceptable. Hit Sequence and the run will start. </w:t>
      </w:r>
    </w:p>
    <w:p w14:paraId="68BFEFFD" w14:textId="3811FF9D" w:rsidR="00C1753D" w:rsidRPr="00C1753D" w:rsidRDefault="00C1753D" w:rsidP="00C1753D">
      <w:pPr>
        <w:pStyle w:val="ListParagraph"/>
        <w:numPr>
          <w:ilvl w:val="0"/>
          <w:numId w:val="4"/>
        </w:numPr>
        <w:rPr>
          <w:b/>
          <w:bCs/>
        </w:rPr>
      </w:pPr>
      <w:r>
        <w:t>Fill out all data regarding the run on the Google Sheet. This will help when setting up future runs. After the run fill in run performance metrics.</w:t>
      </w:r>
    </w:p>
    <w:p w14:paraId="6DFDFA90" w14:textId="29A6F142" w:rsidR="00C1753D" w:rsidRDefault="00C1753D" w:rsidP="00C1753D">
      <w:pPr>
        <w:pStyle w:val="ListParagraph"/>
        <w:rPr>
          <w:b/>
          <w:bCs/>
        </w:rPr>
      </w:pPr>
    </w:p>
    <w:p w14:paraId="5B478601" w14:textId="61ECCD25" w:rsidR="00625CE2" w:rsidRPr="00C1753D" w:rsidRDefault="00625CE2" w:rsidP="00625CE2">
      <w:pPr>
        <w:pStyle w:val="ListParagraph"/>
        <w:ind w:left="0"/>
        <w:rPr>
          <w:b/>
          <w:bCs/>
        </w:rPr>
      </w:pPr>
      <w:r w:rsidRPr="00173799">
        <w:rPr>
          <w:noProof/>
        </w:rPr>
        <w:lastRenderedPageBreak/>
        <w:drawing>
          <wp:inline distT="0" distB="0" distL="0" distR="0" wp14:anchorId="5486FD26" wp14:editId="2DC9EA9C">
            <wp:extent cx="6050118" cy="3434862"/>
            <wp:effectExtent l="0" t="0" r="8255" b="0"/>
            <wp:docPr id="1141306589" name="Picture 1" descr="A screenshot of a computer scree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306589" name="Picture 1" descr="A screenshot of a computer screen&#10;&#10;Description automatically generated with low confidence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73841" cy="3448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5CE2" w:rsidRPr="00C175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305FB"/>
    <w:multiLevelType w:val="hybridMultilevel"/>
    <w:tmpl w:val="48A07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DA0A78"/>
    <w:multiLevelType w:val="hybridMultilevel"/>
    <w:tmpl w:val="F45C2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5E7E66"/>
    <w:multiLevelType w:val="hybridMultilevel"/>
    <w:tmpl w:val="AC0CC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AA5D9C"/>
    <w:multiLevelType w:val="hybridMultilevel"/>
    <w:tmpl w:val="00A2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7970381">
    <w:abstractNumId w:val="1"/>
  </w:num>
  <w:num w:numId="2" w16cid:durableId="914825881">
    <w:abstractNumId w:val="3"/>
  </w:num>
  <w:num w:numId="3" w16cid:durableId="1960525431">
    <w:abstractNumId w:val="0"/>
  </w:num>
  <w:num w:numId="4" w16cid:durableId="1719434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922"/>
    <w:rsid w:val="000774D0"/>
    <w:rsid w:val="000F3ED9"/>
    <w:rsid w:val="00111A5F"/>
    <w:rsid w:val="00121AD2"/>
    <w:rsid w:val="00132D72"/>
    <w:rsid w:val="0020468B"/>
    <w:rsid w:val="002A00CA"/>
    <w:rsid w:val="003C175A"/>
    <w:rsid w:val="00417E83"/>
    <w:rsid w:val="00476ADF"/>
    <w:rsid w:val="004D7E01"/>
    <w:rsid w:val="00540922"/>
    <w:rsid w:val="005F415D"/>
    <w:rsid w:val="00611C7B"/>
    <w:rsid w:val="0062102E"/>
    <w:rsid w:val="00625CE2"/>
    <w:rsid w:val="00683629"/>
    <w:rsid w:val="006E1074"/>
    <w:rsid w:val="007D6648"/>
    <w:rsid w:val="00803119"/>
    <w:rsid w:val="008965C0"/>
    <w:rsid w:val="00907DAF"/>
    <w:rsid w:val="00954B2E"/>
    <w:rsid w:val="009B7399"/>
    <w:rsid w:val="009D3B0C"/>
    <w:rsid w:val="00A8309D"/>
    <w:rsid w:val="00A84868"/>
    <w:rsid w:val="00AE11FD"/>
    <w:rsid w:val="00B71C1C"/>
    <w:rsid w:val="00B93541"/>
    <w:rsid w:val="00BE0EFE"/>
    <w:rsid w:val="00BF48D6"/>
    <w:rsid w:val="00C1753D"/>
    <w:rsid w:val="00C8404E"/>
    <w:rsid w:val="00CA4C36"/>
    <w:rsid w:val="00D05218"/>
    <w:rsid w:val="00D9642C"/>
    <w:rsid w:val="00E81979"/>
    <w:rsid w:val="00EC1CF5"/>
    <w:rsid w:val="00F02217"/>
    <w:rsid w:val="00F72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0A58C7"/>
  <w15:chartTrackingRefBased/>
  <w15:docId w15:val="{2C2BD87C-5528-40D8-8FB1-DB6A468C4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09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09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09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09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09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09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09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09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09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09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09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09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09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09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09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09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09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09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09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09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09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09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09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09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09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09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09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09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092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D664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D66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upport.illumina.com/help/nanomolar-conversion/nanomolar-conversion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fcaca1c-04b8-40d7-944e-e72f4105afe1}" enabled="1" method="Standard" siteId="{a9c0bc09-8b46-4206-9351-2ba12fb4a5c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745</Words>
  <Characters>3602</Characters>
  <Application>Microsoft Office Word</Application>
  <DocSecurity>0</DocSecurity>
  <Lines>74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Hall</dc:creator>
  <cp:keywords/>
  <dc:description/>
  <cp:lastModifiedBy>MILLER,JULIE (Agilent USA)</cp:lastModifiedBy>
  <cp:revision>3</cp:revision>
  <dcterms:created xsi:type="dcterms:W3CDTF">2026-02-20T21:21:00Z</dcterms:created>
  <dcterms:modified xsi:type="dcterms:W3CDTF">2026-02-20T21:22:00Z</dcterms:modified>
</cp:coreProperties>
</file>