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857F" w14:textId="730B1F1D" w:rsidR="003B11EE" w:rsidRPr="004A1596" w:rsidRDefault="003B11EE" w:rsidP="004A1596">
      <w:pPr>
        <w:spacing w:after="0" w:line="240" w:lineRule="auto"/>
        <w:rPr>
          <w:rFonts w:ascii="Arial" w:hAnsi="Arial" w:cs="Arial"/>
          <w:b/>
        </w:rPr>
      </w:pPr>
      <w:r w:rsidRPr="004A1596">
        <w:rPr>
          <w:rFonts w:ascii="Arial" w:hAnsi="Arial" w:cs="Arial"/>
          <w:b/>
        </w:rPr>
        <w:t xml:space="preserve">Arkansas Children’s Nutrition Center </w:t>
      </w:r>
      <w:r w:rsidR="008F7370">
        <w:rPr>
          <w:rFonts w:ascii="Arial" w:hAnsi="Arial" w:cs="Arial"/>
          <w:b/>
        </w:rPr>
        <w:t>Metabolomics &amp; Analytical Chemistry</w:t>
      </w:r>
      <w:r w:rsidR="00A660E6" w:rsidRPr="004A1596">
        <w:rPr>
          <w:rFonts w:ascii="Arial" w:hAnsi="Arial" w:cs="Arial"/>
          <w:b/>
        </w:rPr>
        <w:t xml:space="preserve"> Core User</w:t>
      </w:r>
      <w:r w:rsidRPr="004A1596">
        <w:rPr>
          <w:rFonts w:ascii="Arial" w:hAnsi="Arial" w:cs="Arial"/>
          <w:b/>
        </w:rPr>
        <w:t xml:space="preserve"> Policy </w:t>
      </w:r>
    </w:p>
    <w:p w14:paraId="5ADB4D0D" w14:textId="77777777" w:rsidR="003B11EE" w:rsidRPr="004A1596" w:rsidRDefault="003B11EE" w:rsidP="004A1596">
      <w:pPr>
        <w:spacing w:after="0" w:line="240" w:lineRule="auto"/>
        <w:rPr>
          <w:rFonts w:ascii="Arial" w:hAnsi="Arial" w:cs="Arial"/>
        </w:rPr>
      </w:pPr>
    </w:p>
    <w:p w14:paraId="52D0171D" w14:textId="4E5644A9" w:rsidR="003B11EE" w:rsidRPr="004A1596" w:rsidRDefault="00A660E6" w:rsidP="004A1596">
      <w:pPr>
        <w:spacing w:after="0" w:line="240" w:lineRule="auto"/>
        <w:rPr>
          <w:rFonts w:ascii="Arial" w:hAnsi="Arial" w:cs="Arial"/>
        </w:rPr>
      </w:pPr>
      <w:r w:rsidRPr="004A1596">
        <w:rPr>
          <w:rFonts w:ascii="Arial" w:hAnsi="Arial" w:cs="Arial"/>
          <w:b/>
        </w:rPr>
        <w:t>Purpose:</w:t>
      </w:r>
      <w:r w:rsidR="003B11EE" w:rsidRPr="004A1596">
        <w:rPr>
          <w:rFonts w:ascii="Arial" w:hAnsi="Arial" w:cs="Arial"/>
        </w:rPr>
        <w:t xml:space="preserve"> </w:t>
      </w:r>
      <w:r w:rsidRPr="004A1596">
        <w:rPr>
          <w:rFonts w:ascii="Arial" w:hAnsi="Arial" w:cs="Arial"/>
        </w:rPr>
        <w:t xml:space="preserve">This policy outlines key procedures within the </w:t>
      </w:r>
      <w:r w:rsidR="000D1527">
        <w:rPr>
          <w:rFonts w:ascii="Arial" w:hAnsi="Arial" w:cs="Arial"/>
        </w:rPr>
        <w:t>Metabolomics and Analytical Chemistry Core</w:t>
      </w:r>
      <w:r w:rsidRPr="004A1596">
        <w:rPr>
          <w:rFonts w:ascii="Arial" w:hAnsi="Arial" w:cs="Arial"/>
        </w:rPr>
        <w:t xml:space="preserve"> (</w:t>
      </w:r>
      <w:r w:rsidR="000D1527">
        <w:rPr>
          <w:rFonts w:ascii="Arial" w:hAnsi="Arial" w:cs="Arial"/>
        </w:rPr>
        <w:t>MACC</w:t>
      </w:r>
      <w:r w:rsidRPr="004A1596">
        <w:rPr>
          <w:rFonts w:ascii="Arial" w:hAnsi="Arial" w:cs="Arial"/>
        </w:rPr>
        <w:t xml:space="preserve">) at Arkansas Children’s Nutrition Center (ACNC) relating the execution of </w:t>
      </w:r>
      <w:r w:rsidR="000D1527">
        <w:rPr>
          <w:rFonts w:ascii="Arial" w:hAnsi="Arial" w:cs="Arial"/>
        </w:rPr>
        <w:t>analytical research</w:t>
      </w:r>
      <w:r w:rsidRPr="004A1596">
        <w:rPr>
          <w:rFonts w:ascii="Arial" w:hAnsi="Arial" w:cs="Arial"/>
        </w:rPr>
        <w:t>. T</w:t>
      </w:r>
      <w:r w:rsidR="00735BDD" w:rsidRPr="004A1596">
        <w:rPr>
          <w:rFonts w:ascii="Arial" w:hAnsi="Arial" w:cs="Arial"/>
        </w:rPr>
        <w:t>he primary goal of this</w:t>
      </w:r>
      <w:r w:rsidRPr="004A1596">
        <w:rPr>
          <w:rFonts w:ascii="Arial" w:hAnsi="Arial" w:cs="Arial"/>
        </w:rPr>
        <w:t xml:space="preserve"> policy </w:t>
      </w:r>
      <w:r w:rsidR="00735BDD" w:rsidRPr="004A1596">
        <w:rPr>
          <w:rFonts w:ascii="Arial" w:hAnsi="Arial" w:cs="Arial"/>
        </w:rPr>
        <w:t>is to provide</w:t>
      </w:r>
      <w:r w:rsidRPr="004A1596">
        <w:rPr>
          <w:rFonts w:ascii="Arial" w:hAnsi="Arial" w:cs="Arial"/>
        </w:rPr>
        <w:t xml:space="preserve"> guidelines for </w:t>
      </w:r>
      <w:r w:rsidR="000D1527">
        <w:rPr>
          <w:rFonts w:ascii="Arial" w:hAnsi="Arial" w:cs="Arial"/>
        </w:rPr>
        <w:t>MACC</w:t>
      </w:r>
      <w:r w:rsidR="00735BDD" w:rsidRPr="004A1596">
        <w:rPr>
          <w:rFonts w:ascii="Arial" w:hAnsi="Arial" w:cs="Arial"/>
        </w:rPr>
        <w:t xml:space="preserve"> users and set</w:t>
      </w:r>
      <w:r w:rsidR="00BF5ABD" w:rsidRPr="004A1596">
        <w:rPr>
          <w:rFonts w:ascii="Arial" w:hAnsi="Arial" w:cs="Arial"/>
        </w:rPr>
        <w:t xml:space="preserve"> expectations for </w:t>
      </w:r>
      <w:r w:rsidR="00735BDD" w:rsidRPr="004A1596">
        <w:rPr>
          <w:rFonts w:ascii="Arial" w:hAnsi="Arial" w:cs="Arial"/>
        </w:rPr>
        <w:t xml:space="preserve">the roles </w:t>
      </w:r>
      <w:r w:rsidR="00A21373">
        <w:rPr>
          <w:rFonts w:ascii="Arial" w:hAnsi="Arial" w:cs="Arial"/>
        </w:rPr>
        <w:t xml:space="preserve">of </w:t>
      </w:r>
      <w:r w:rsidR="00BF5ABD" w:rsidRPr="004A1596">
        <w:rPr>
          <w:rFonts w:ascii="Arial" w:hAnsi="Arial" w:cs="Arial"/>
        </w:rPr>
        <w:t xml:space="preserve">principal investigators </w:t>
      </w:r>
      <w:r w:rsidR="00735BDD" w:rsidRPr="004A1596">
        <w:rPr>
          <w:rFonts w:ascii="Arial" w:hAnsi="Arial" w:cs="Arial"/>
        </w:rPr>
        <w:t>(PI), their staff</w:t>
      </w:r>
      <w:r w:rsidR="000D1527">
        <w:rPr>
          <w:rFonts w:ascii="Arial" w:hAnsi="Arial" w:cs="Arial"/>
        </w:rPr>
        <w:t>,</w:t>
      </w:r>
      <w:r w:rsidR="00735BDD" w:rsidRPr="004A1596">
        <w:rPr>
          <w:rFonts w:ascii="Arial" w:hAnsi="Arial" w:cs="Arial"/>
        </w:rPr>
        <w:t xml:space="preserve"> </w:t>
      </w:r>
      <w:r w:rsidR="004A1596" w:rsidRPr="004A1596">
        <w:rPr>
          <w:rFonts w:ascii="Arial" w:hAnsi="Arial" w:cs="Arial"/>
        </w:rPr>
        <w:t xml:space="preserve">and </w:t>
      </w:r>
      <w:r w:rsidR="000D1527">
        <w:rPr>
          <w:rFonts w:ascii="Arial" w:hAnsi="Arial" w:cs="Arial"/>
        </w:rPr>
        <w:t>MACC</w:t>
      </w:r>
      <w:r w:rsidR="00735BDD" w:rsidRPr="004A1596">
        <w:rPr>
          <w:rFonts w:ascii="Arial" w:hAnsi="Arial" w:cs="Arial"/>
        </w:rPr>
        <w:t xml:space="preserve"> staff</w:t>
      </w:r>
      <w:r w:rsidR="000D1527">
        <w:rPr>
          <w:rFonts w:ascii="Arial" w:hAnsi="Arial" w:cs="Arial"/>
        </w:rPr>
        <w:t xml:space="preserve"> in supporting </w:t>
      </w:r>
      <w:r w:rsidR="001760D6">
        <w:rPr>
          <w:rFonts w:ascii="Arial" w:hAnsi="Arial" w:cs="Arial"/>
        </w:rPr>
        <w:t>a</w:t>
      </w:r>
      <w:r w:rsidR="000D1527">
        <w:rPr>
          <w:rFonts w:ascii="Arial" w:hAnsi="Arial" w:cs="Arial"/>
        </w:rPr>
        <w:t>nalytical</w:t>
      </w:r>
      <w:r w:rsidR="004A1596" w:rsidRPr="004A1596">
        <w:rPr>
          <w:rFonts w:ascii="Arial" w:hAnsi="Arial" w:cs="Arial"/>
        </w:rPr>
        <w:t xml:space="preserve"> research within the mission of ACNC and Arkansas Children’s Research Institute (ACRI).</w:t>
      </w:r>
    </w:p>
    <w:p w14:paraId="5FF7851E" w14:textId="77777777" w:rsidR="005E07EF" w:rsidRPr="004A1596" w:rsidRDefault="005E07EF" w:rsidP="004A1596">
      <w:pPr>
        <w:spacing w:after="0" w:line="240" w:lineRule="auto"/>
        <w:rPr>
          <w:rFonts w:ascii="Arial" w:hAnsi="Arial" w:cs="Arial"/>
          <w:u w:val="single"/>
        </w:rPr>
      </w:pPr>
    </w:p>
    <w:p w14:paraId="5AE5B874" w14:textId="031DDE43" w:rsidR="00BF5ABD" w:rsidRPr="004A1596" w:rsidRDefault="00A21373" w:rsidP="003870CE">
      <w:pPr>
        <w:spacing w:before="120" w:after="0" w:line="240" w:lineRule="auto"/>
        <w:rPr>
          <w:rFonts w:ascii="Arial" w:hAnsi="Arial" w:cs="Arial"/>
        </w:rPr>
      </w:pPr>
      <w:r w:rsidRPr="003870CE">
        <w:rPr>
          <w:rFonts w:ascii="Arial" w:hAnsi="Arial" w:cs="Arial"/>
          <w:b/>
        </w:rPr>
        <w:t>MACC</w:t>
      </w:r>
      <w:r w:rsidR="003870CE">
        <w:rPr>
          <w:rFonts w:ascii="Arial" w:hAnsi="Arial" w:cs="Arial"/>
        </w:rPr>
        <w:t xml:space="preserve">: </w:t>
      </w:r>
      <w:r w:rsidR="00FB4428" w:rsidRPr="00FB4428">
        <w:rPr>
          <w:rFonts w:ascii="Arial" w:hAnsi="Arial" w:cs="Arial"/>
        </w:rPr>
        <w:t xml:space="preserve">The ACNC has a 2200 ft2 laboratory dedicated to chemical analysis of biological samples and diets. Directed by Dr. Colin Kay (Scientific Director) and Dr. Renny Lan (Operations Director), the ACNC </w:t>
      </w:r>
      <w:r>
        <w:rPr>
          <w:rFonts w:ascii="Arial" w:hAnsi="Arial" w:cs="Arial"/>
        </w:rPr>
        <w:t>MACC</w:t>
      </w:r>
      <w:r w:rsidR="00FB4428" w:rsidRPr="00FB4428">
        <w:rPr>
          <w:rFonts w:ascii="Arial" w:hAnsi="Arial" w:cs="Arial"/>
        </w:rPr>
        <w:t xml:space="preserve"> Core works closely with the ACNC Biostatistics and Data Innovation Core to analyze and process metabolomic and </w:t>
      </w:r>
      <w:r w:rsidR="00401B71" w:rsidRPr="00FB4428">
        <w:rPr>
          <w:rFonts w:ascii="Arial" w:hAnsi="Arial" w:cs="Arial"/>
        </w:rPr>
        <w:t>lipidomic</w:t>
      </w:r>
      <w:r w:rsidR="00FB4428" w:rsidRPr="00FB4428">
        <w:rPr>
          <w:rFonts w:ascii="Arial" w:hAnsi="Arial" w:cs="Arial"/>
        </w:rPr>
        <w:t xml:space="preserve"> data (targeted and untargeted) from a variety of human and animal samples including plasma, serum, tissues, urine, milk, and fecal/intestinal contents</w:t>
      </w:r>
      <w:r w:rsidR="001760D6">
        <w:rPr>
          <w:rFonts w:ascii="Arial" w:hAnsi="Arial" w:cs="Arial"/>
        </w:rPr>
        <w:t xml:space="preserve"> as well as </w:t>
      </w:r>
      <w:r w:rsidR="00401B71">
        <w:rPr>
          <w:rFonts w:ascii="Arial" w:hAnsi="Arial" w:cs="Arial"/>
        </w:rPr>
        <w:t>cultured</w:t>
      </w:r>
      <w:r w:rsidR="001760D6">
        <w:rPr>
          <w:rFonts w:ascii="Arial" w:hAnsi="Arial" w:cs="Arial"/>
        </w:rPr>
        <w:t xml:space="preserve"> cells</w:t>
      </w:r>
      <w:r w:rsidR="00FB4428" w:rsidRPr="00FB4428">
        <w:rPr>
          <w:rFonts w:ascii="Arial" w:hAnsi="Arial" w:cs="Arial"/>
        </w:rPr>
        <w:t xml:space="preserve">. </w:t>
      </w:r>
      <w:r w:rsidR="00FB4428">
        <w:rPr>
          <w:rFonts w:ascii="Arial" w:hAnsi="Arial" w:cs="Arial"/>
        </w:rPr>
        <w:t>The MMAC</w:t>
      </w:r>
      <w:r w:rsidR="00FB4428" w:rsidRPr="00FB4428">
        <w:rPr>
          <w:rFonts w:ascii="Arial" w:hAnsi="Arial" w:cs="Arial"/>
        </w:rPr>
        <w:t xml:space="preserve"> includes a full range of precision analytical instruments for </w:t>
      </w:r>
      <w:r w:rsidR="001760D6">
        <w:rPr>
          <w:rFonts w:ascii="Arial" w:hAnsi="Arial" w:cs="Arial"/>
        </w:rPr>
        <w:t xml:space="preserve">extraction, </w:t>
      </w:r>
      <w:r>
        <w:rPr>
          <w:rFonts w:ascii="Arial" w:hAnsi="Arial" w:cs="Arial"/>
        </w:rPr>
        <w:t xml:space="preserve">isolation, </w:t>
      </w:r>
      <w:r w:rsidR="001760D6">
        <w:rPr>
          <w:rFonts w:ascii="Arial" w:hAnsi="Arial" w:cs="Arial"/>
        </w:rPr>
        <w:t xml:space="preserve">separation, </w:t>
      </w:r>
      <w:r>
        <w:rPr>
          <w:rFonts w:ascii="Arial" w:hAnsi="Arial" w:cs="Arial"/>
        </w:rPr>
        <w:t xml:space="preserve">and </w:t>
      </w:r>
      <w:r w:rsidR="00FB4428" w:rsidRPr="00FB4428">
        <w:rPr>
          <w:rFonts w:ascii="Arial" w:hAnsi="Arial" w:cs="Arial"/>
        </w:rPr>
        <w:t>detection of bioactive compounds and metabolites from plants, food mat</w:t>
      </w:r>
      <w:r w:rsidR="00FB4428">
        <w:rPr>
          <w:rFonts w:ascii="Arial" w:hAnsi="Arial" w:cs="Arial"/>
        </w:rPr>
        <w:t xml:space="preserve">rices, and human/animal tissues – including </w:t>
      </w:r>
      <w:r>
        <w:rPr>
          <w:rFonts w:ascii="Arial" w:hAnsi="Arial" w:cs="Arial"/>
        </w:rPr>
        <w:t>ultra-high</w:t>
      </w:r>
      <w:r w:rsidR="001760D6">
        <w:rPr>
          <w:rFonts w:ascii="Arial" w:hAnsi="Arial" w:cs="Arial"/>
        </w:rPr>
        <w:t xml:space="preserve"> performance liquid </w:t>
      </w:r>
      <w:r w:rsidR="00401B71">
        <w:rPr>
          <w:rFonts w:ascii="Arial" w:hAnsi="Arial" w:cs="Arial"/>
        </w:rPr>
        <w:t>chromatography</w:t>
      </w:r>
      <w:r w:rsidR="001760D6">
        <w:rPr>
          <w:rFonts w:ascii="Arial" w:hAnsi="Arial" w:cs="Arial"/>
        </w:rPr>
        <w:t xml:space="preserve"> (UHPLC)</w:t>
      </w:r>
      <w:r w:rsidR="00014F87">
        <w:rPr>
          <w:rFonts w:ascii="Arial" w:hAnsi="Arial" w:cs="Arial"/>
        </w:rPr>
        <w:t xml:space="preserve"> and regular HPLC</w:t>
      </w:r>
      <w:r w:rsidR="001760D6">
        <w:rPr>
          <w:rFonts w:ascii="Arial" w:hAnsi="Arial" w:cs="Arial"/>
        </w:rPr>
        <w:t xml:space="preserve">, </w:t>
      </w:r>
      <w:r w:rsidR="00FB4428">
        <w:rPr>
          <w:rFonts w:ascii="Arial" w:hAnsi="Arial" w:cs="Arial"/>
        </w:rPr>
        <w:t xml:space="preserve">high-resolution MS, cyclic ion mobility </w:t>
      </w:r>
      <w:r w:rsidR="00014F87" w:rsidRPr="00014F87">
        <w:rPr>
          <w:rFonts w:ascii="Arial" w:hAnsi="Arial" w:cs="Arial"/>
        </w:rPr>
        <w:t xml:space="preserve">time-of-flight </w:t>
      </w:r>
      <w:r w:rsidR="00FB4428">
        <w:rPr>
          <w:rFonts w:ascii="Arial" w:hAnsi="Arial" w:cs="Arial"/>
        </w:rPr>
        <w:t xml:space="preserve">MS, and triple </w:t>
      </w:r>
      <w:r w:rsidR="00014F87">
        <w:rPr>
          <w:rFonts w:ascii="Arial" w:hAnsi="Arial" w:cs="Arial"/>
        </w:rPr>
        <w:t>quadrupole MS</w:t>
      </w:r>
      <w:r w:rsidR="00FB4428">
        <w:rPr>
          <w:rFonts w:ascii="Arial" w:hAnsi="Arial" w:cs="Arial"/>
        </w:rPr>
        <w:t xml:space="preserve"> and single quadrupole MS instruments</w:t>
      </w:r>
      <w:r w:rsidR="00014F87">
        <w:rPr>
          <w:rFonts w:ascii="Arial" w:hAnsi="Arial" w:cs="Arial"/>
        </w:rPr>
        <w:t xml:space="preserve"> with photodiode array (PDa)</w:t>
      </w:r>
      <w:r w:rsidR="00FB4428">
        <w:rPr>
          <w:rFonts w:ascii="Arial" w:hAnsi="Arial" w:cs="Arial"/>
        </w:rPr>
        <w:t xml:space="preserve">. </w:t>
      </w:r>
      <w:r w:rsidR="00D51FD5" w:rsidRPr="004A1596">
        <w:rPr>
          <w:rFonts w:ascii="Arial" w:hAnsi="Arial" w:cs="Arial"/>
        </w:rPr>
        <w:t xml:space="preserve">The mission of the </w:t>
      </w:r>
      <w:r w:rsidR="00FB4428">
        <w:rPr>
          <w:rFonts w:ascii="Arial" w:hAnsi="Arial" w:cs="Arial"/>
        </w:rPr>
        <w:t>MACC</w:t>
      </w:r>
      <w:r w:rsidR="00D51FD5" w:rsidRPr="004A1596">
        <w:rPr>
          <w:rFonts w:ascii="Arial" w:hAnsi="Arial" w:cs="Arial"/>
        </w:rPr>
        <w:t xml:space="preserve"> is to advance biomedical </w:t>
      </w:r>
      <w:r w:rsidR="00FB4428">
        <w:rPr>
          <w:rFonts w:ascii="Arial" w:hAnsi="Arial" w:cs="Arial"/>
        </w:rPr>
        <w:t xml:space="preserve">and precision health </w:t>
      </w:r>
      <w:r w:rsidR="00D51FD5" w:rsidRPr="004A1596">
        <w:rPr>
          <w:rFonts w:ascii="Arial" w:hAnsi="Arial" w:cs="Arial"/>
        </w:rPr>
        <w:t xml:space="preserve">research by providing researchers with the </w:t>
      </w:r>
      <w:r w:rsidR="005D71E7" w:rsidRPr="004A1596">
        <w:rPr>
          <w:rFonts w:ascii="Arial" w:hAnsi="Arial" w:cs="Arial"/>
        </w:rPr>
        <w:t xml:space="preserve">instrumentation and expertise to </w:t>
      </w:r>
      <w:r w:rsidR="00BA5374">
        <w:rPr>
          <w:rFonts w:ascii="Arial" w:hAnsi="Arial" w:cs="Arial"/>
        </w:rPr>
        <w:t xml:space="preserve">perform advanced </w:t>
      </w:r>
      <w:r w:rsidR="00FB4428">
        <w:rPr>
          <w:rFonts w:ascii="Arial" w:hAnsi="Arial" w:cs="Arial"/>
        </w:rPr>
        <w:t>tissue metabolic, xenobiotic and chemical profiling</w:t>
      </w:r>
      <w:r w:rsidR="005D71E7" w:rsidRPr="004A1596">
        <w:rPr>
          <w:rFonts w:ascii="Arial" w:hAnsi="Arial" w:cs="Arial"/>
        </w:rPr>
        <w:t xml:space="preserve">. </w:t>
      </w:r>
    </w:p>
    <w:p w14:paraId="45F1297F" w14:textId="0D26B976" w:rsidR="005E07EF" w:rsidRPr="004A1596" w:rsidRDefault="005E07EF" w:rsidP="004A1596">
      <w:pPr>
        <w:spacing w:after="0" w:line="240" w:lineRule="auto"/>
        <w:rPr>
          <w:rFonts w:ascii="Arial" w:hAnsi="Arial" w:cs="Arial"/>
          <w:b/>
        </w:rPr>
      </w:pPr>
    </w:p>
    <w:p w14:paraId="4D1EF0E8" w14:textId="3472F149" w:rsidR="00D51FD5" w:rsidRPr="003870CE" w:rsidRDefault="00BF5ABD" w:rsidP="003870CE">
      <w:pPr>
        <w:spacing w:before="120" w:after="0" w:line="240" w:lineRule="auto"/>
        <w:rPr>
          <w:rFonts w:ascii="Arial" w:hAnsi="Arial" w:cs="Arial"/>
          <w:b/>
          <w:u w:val="single"/>
        </w:rPr>
      </w:pPr>
      <w:r w:rsidRPr="004A1596">
        <w:rPr>
          <w:rFonts w:ascii="Arial" w:hAnsi="Arial" w:cs="Arial"/>
          <w:b/>
          <w:u w:val="single"/>
        </w:rPr>
        <w:t xml:space="preserve">Core services </w:t>
      </w:r>
    </w:p>
    <w:p w14:paraId="197F40DA" w14:textId="2ED69B23" w:rsidR="00D51FD5" w:rsidRPr="004A1596" w:rsidRDefault="00D51FD5" w:rsidP="003870CE">
      <w:pPr>
        <w:spacing w:before="120" w:after="0" w:line="240" w:lineRule="auto"/>
        <w:rPr>
          <w:rFonts w:ascii="Arial" w:hAnsi="Arial" w:cs="Arial"/>
        </w:rPr>
      </w:pPr>
      <w:r w:rsidRPr="004A1596">
        <w:rPr>
          <w:rFonts w:ascii="Arial" w:hAnsi="Arial" w:cs="Arial"/>
        </w:rPr>
        <w:t xml:space="preserve">Services provided by the </w:t>
      </w:r>
      <w:r w:rsidR="00FB4428">
        <w:rPr>
          <w:rFonts w:ascii="Arial" w:hAnsi="Arial" w:cs="Arial"/>
        </w:rPr>
        <w:t>MACC</w:t>
      </w:r>
      <w:r w:rsidRPr="004A1596">
        <w:rPr>
          <w:rFonts w:ascii="Arial" w:hAnsi="Arial" w:cs="Arial"/>
        </w:rPr>
        <w:t xml:space="preserve"> include but are not limited to:</w:t>
      </w:r>
    </w:p>
    <w:p w14:paraId="4DB04736" w14:textId="77777777" w:rsidR="003B11EE" w:rsidRPr="004A1596" w:rsidRDefault="003B11EE" w:rsidP="004A1596">
      <w:pPr>
        <w:spacing w:after="0" w:line="240" w:lineRule="auto"/>
        <w:rPr>
          <w:rFonts w:ascii="Arial" w:hAnsi="Arial" w:cs="Arial"/>
        </w:rPr>
      </w:pPr>
    </w:p>
    <w:p w14:paraId="38CB6A43" w14:textId="72C58F96" w:rsidR="00A21373" w:rsidRPr="004A1596" w:rsidRDefault="00BF5ABD" w:rsidP="00A21373">
      <w:pPr>
        <w:spacing w:after="0" w:line="240" w:lineRule="auto"/>
        <w:rPr>
          <w:rFonts w:ascii="Arial" w:hAnsi="Arial" w:cs="Arial"/>
          <w:b/>
        </w:rPr>
      </w:pPr>
      <w:r w:rsidRPr="004A1596">
        <w:rPr>
          <w:rFonts w:ascii="Arial" w:hAnsi="Arial" w:cs="Arial"/>
          <w:b/>
        </w:rPr>
        <w:t xml:space="preserve">1. </w:t>
      </w:r>
      <w:r w:rsidR="00A21373" w:rsidRPr="004A1596">
        <w:rPr>
          <w:rFonts w:ascii="Arial" w:hAnsi="Arial" w:cs="Arial"/>
          <w:b/>
        </w:rPr>
        <w:t xml:space="preserve">Metabolic and </w:t>
      </w:r>
      <w:r w:rsidR="00A21373">
        <w:rPr>
          <w:rFonts w:ascii="Arial" w:hAnsi="Arial" w:cs="Arial"/>
          <w:b/>
        </w:rPr>
        <w:t>chemical fingerprinting</w:t>
      </w:r>
    </w:p>
    <w:p w14:paraId="6EB85C96" w14:textId="77777777" w:rsidR="00A21373" w:rsidRPr="004A1596" w:rsidRDefault="00A21373" w:rsidP="00A21373">
      <w:pPr>
        <w:pStyle w:val="ListParagraph"/>
        <w:spacing w:after="0" w:line="240" w:lineRule="auto"/>
        <w:ind w:left="1080"/>
        <w:rPr>
          <w:rFonts w:ascii="Arial" w:hAnsi="Arial" w:cs="Arial"/>
          <w:b/>
        </w:rPr>
      </w:pPr>
    </w:p>
    <w:p w14:paraId="31C4D4F0" w14:textId="77777777" w:rsidR="00A21373" w:rsidRPr="004A1596" w:rsidRDefault="00A21373" w:rsidP="00A21373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Untargeted metabolomics</w:t>
      </w:r>
      <w:r w:rsidRPr="004A1596">
        <w:rPr>
          <w:rFonts w:ascii="Arial" w:hAnsi="Arial" w:cs="Arial"/>
        </w:rPr>
        <w:t xml:space="preserve"> </w:t>
      </w:r>
    </w:p>
    <w:p w14:paraId="6729CB22" w14:textId="77777777" w:rsidR="00A21373" w:rsidRDefault="00A21373" w:rsidP="00A21373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Untargeted lipidomics</w:t>
      </w:r>
    </w:p>
    <w:p w14:paraId="4962D049" w14:textId="77777777" w:rsidR="00A21373" w:rsidRDefault="00A21373" w:rsidP="00A21373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Quantitative metabolomics</w:t>
      </w:r>
    </w:p>
    <w:p w14:paraId="6EDD60CD" w14:textId="77777777" w:rsidR="00A21373" w:rsidRDefault="00A21373" w:rsidP="00A21373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Quantitative targeted analytics</w:t>
      </w:r>
    </w:p>
    <w:p w14:paraId="3DD781F9" w14:textId="77777777" w:rsidR="00A21373" w:rsidRPr="004A1596" w:rsidRDefault="00A21373" w:rsidP="00A21373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Method development &amp; validation</w:t>
      </w:r>
    </w:p>
    <w:p w14:paraId="05EE718B" w14:textId="77777777" w:rsidR="00A21373" w:rsidRDefault="00A21373" w:rsidP="004A1596">
      <w:pPr>
        <w:spacing w:after="0" w:line="240" w:lineRule="auto"/>
        <w:rPr>
          <w:rFonts w:ascii="Arial" w:hAnsi="Arial" w:cs="Arial"/>
          <w:b/>
        </w:rPr>
      </w:pPr>
    </w:p>
    <w:p w14:paraId="7EA8B1E3" w14:textId="623F1256" w:rsidR="003B11EE" w:rsidRPr="004A1596" w:rsidRDefault="00A21373" w:rsidP="004A15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FB4428">
        <w:rPr>
          <w:rFonts w:ascii="Arial" w:hAnsi="Arial" w:cs="Arial"/>
          <w:b/>
        </w:rPr>
        <w:t>Study protocol development and execution</w:t>
      </w:r>
      <w:r w:rsidR="00AE0266" w:rsidRPr="004A1596">
        <w:rPr>
          <w:rFonts w:ascii="Arial" w:hAnsi="Arial" w:cs="Arial"/>
          <w:b/>
        </w:rPr>
        <w:t xml:space="preserve"> </w:t>
      </w:r>
    </w:p>
    <w:p w14:paraId="28BD586A" w14:textId="77777777" w:rsidR="003B11EE" w:rsidRPr="004A1596" w:rsidRDefault="003B11EE" w:rsidP="004A1596">
      <w:pPr>
        <w:pStyle w:val="ListParagraph"/>
        <w:spacing w:after="0" w:line="240" w:lineRule="auto"/>
        <w:ind w:left="1080"/>
        <w:rPr>
          <w:rFonts w:ascii="Arial" w:hAnsi="Arial" w:cs="Arial"/>
          <w:b/>
        </w:rPr>
      </w:pPr>
    </w:p>
    <w:p w14:paraId="02F5933C" w14:textId="3B7CD283" w:rsidR="003B11EE" w:rsidRPr="004A1596" w:rsidRDefault="00FB4428" w:rsidP="004A1596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Best practice in study design</w:t>
      </w:r>
    </w:p>
    <w:p w14:paraId="6543A5E0" w14:textId="2284182E" w:rsidR="00AE0266" w:rsidRDefault="00FB4428" w:rsidP="004A1596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Protocol development </w:t>
      </w:r>
    </w:p>
    <w:p w14:paraId="4D9AE435" w14:textId="37135DA7" w:rsidR="00FB4428" w:rsidRDefault="00D9749A" w:rsidP="004A1596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FB4428">
        <w:rPr>
          <w:rFonts w:ascii="Arial" w:hAnsi="Arial" w:cs="Arial"/>
        </w:rPr>
        <w:t xml:space="preserve">etadata </w:t>
      </w:r>
      <w:r w:rsidR="00DA3111">
        <w:rPr>
          <w:rFonts w:ascii="Arial" w:hAnsi="Arial" w:cs="Arial"/>
        </w:rPr>
        <w:t xml:space="preserve">and QAQC </w:t>
      </w:r>
      <w:r w:rsidR="00FB4428">
        <w:rPr>
          <w:rFonts w:ascii="Arial" w:hAnsi="Arial" w:cs="Arial"/>
        </w:rPr>
        <w:t>c</w:t>
      </w:r>
      <w:r>
        <w:rPr>
          <w:rFonts w:ascii="Arial" w:hAnsi="Arial" w:cs="Arial"/>
        </w:rPr>
        <w:t>onsideration</w:t>
      </w:r>
    </w:p>
    <w:p w14:paraId="54F1C046" w14:textId="39F9C0B5" w:rsidR="00DA3111" w:rsidRDefault="00DA3111" w:rsidP="004A1596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Blocking and </w:t>
      </w:r>
      <w:r w:rsidR="00A21373">
        <w:rPr>
          <w:rFonts w:ascii="Arial" w:hAnsi="Arial" w:cs="Arial"/>
        </w:rPr>
        <w:t>randomization</w:t>
      </w:r>
    </w:p>
    <w:p w14:paraId="2586FED7" w14:textId="5F76FDC4" w:rsidR="00BF5ABD" w:rsidRPr="004A1596" w:rsidRDefault="00BF5ABD" w:rsidP="004A1596">
      <w:pPr>
        <w:spacing w:after="0" w:line="240" w:lineRule="auto"/>
        <w:rPr>
          <w:rFonts w:ascii="Arial" w:hAnsi="Arial" w:cs="Arial"/>
        </w:rPr>
      </w:pPr>
    </w:p>
    <w:p w14:paraId="60D7E99B" w14:textId="51972D34" w:rsidR="003B11EE" w:rsidRPr="004A1596" w:rsidRDefault="003B11EE" w:rsidP="004A1596">
      <w:pPr>
        <w:spacing w:after="0" w:line="240" w:lineRule="auto"/>
        <w:rPr>
          <w:rFonts w:ascii="Arial" w:hAnsi="Arial" w:cs="Arial"/>
        </w:rPr>
      </w:pPr>
    </w:p>
    <w:p w14:paraId="07DE8E50" w14:textId="649F68E1" w:rsidR="00FB4428" w:rsidRPr="004A1596" w:rsidRDefault="00A21373" w:rsidP="00FB442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BF5ABD" w:rsidRPr="004A1596">
        <w:rPr>
          <w:rFonts w:ascii="Arial" w:hAnsi="Arial" w:cs="Arial"/>
          <w:b/>
        </w:rPr>
        <w:t xml:space="preserve">. </w:t>
      </w:r>
      <w:r w:rsidR="00FB4428">
        <w:rPr>
          <w:rFonts w:ascii="Arial" w:hAnsi="Arial" w:cs="Arial"/>
          <w:b/>
        </w:rPr>
        <w:t>Study sample acquisition and planning s</w:t>
      </w:r>
      <w:r w:rsidR="00FB4428" w:rsidRPr="004A1596">
        <w:rPr>
          <w:rFonts w:ascii="Arial" w:hAnsi="Arial" w:cs="Arial"/>
          <w:b/>
        </w:rPr>
        <w:t xml:space="preserve">upport </w:t>
      </w:r>
    </w:p>
    <w:p w14:paraId="1A127415" w14:textId="6D83E4B1" w:rsidR="003B11EE" w:rsidRPr="00D9749A" w:rsidRDefault="003B11EE" w:rsidP="00D9749A">
      <w:pPr>
        <w:spacing w:after="0" w:line="240" w:lineRule="auto"/>
        <w:rPr>
          <w:rFonts w:ascii="Arial" w:hAnsi="Arial" w:cs="Arial"/>
          <w:b/>
        </w:rPr>
      </w:pPr>
    </w:p>
    <w:p w14:paraId="58BC129D" w14:textId="77777777" w:rsidR="00D9749A" w:rsidRDefault="00FB4428" w:rsidP="004A159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Sample generation </w:t>
      </w:r>
      <w:r w:rsidR="00D9749A">
        <w:rPr>
          <w:rFonts w:ascii="Arial" w:hAnsi="Arial" w:cs="Arial"/>
        </w:rPr>
        <w:t>best practice</w:t>
      </w:r>
    </w:p>
    <w:p w14:paraId="1AB4B22F" w14:textId="714E7F82" w:rsidR="00AE0266" w:rsidRDefault="00D9749A" w:rsidP="004A159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Standard </w:t>
      </w:r>
      <w:r w:rsidR="00FB4428">
        <w:rPr>
          <w:rFonts w:ascii="Arial" w:hAnsi="Arial" w:cs="Arial"/>
        </w:rPr>
        <w:t>operating procedures and protocols</w:t>
      </w:r>
    </w:p>
    <w:p w14:paraId="5F7D73F1" w14:textId="301D5322" w:rsidR="00FB4428" w:rsidRPr="00D9749A" w:rsidRDefault="00FB4428" w:rsidP="00D9749A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Storage and </w:t>
      </w:r>
      <w:r w:rsidR="00D9749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hipping </w:t>
      </w:r>
      <w:r w:rsidR="00D9749A">
        <w:rPr>
          <w:rFonts w:ascii="Arial" w:hAnsi="Arial" w:cs="Arial"/>
        </w:rPr>
        <w:t>advice</w:t>
      </w:r>
    </w:p>
    <w:p w14:paraId="4D6A83A8" w14:textId="374BE63B" w:rsidR="004A1596" w:rsidRDefault="004A1596" w:rsidP="004A1596">
      <w:pPr>
        <w:spacing w:after="0" w:line="240" w:lineRule="auto"/>
      </w:pPr>
    </w:p>
    <w:p w14:paraId="1201E9E0" w14:textId="32F339A7" w:rsidR="004A1596" w:rsidRPr="004A1596" w:rsidRDefault="004A1596" w:rsidP="004A1596">
      <w:pPr>
        <w:spacing w:after="0" w:line="240" w:lineRule="auto"/>
        <w:rPr>
          <w:rFonts w:ascii="Arial" w:hAnsi="Arial" w:cs="Arial"/>
          <w:b/>
        </w:rPr>
      </w:pPr>
      <w:r w:rsidRPr="004A1596">
        <w:rPr>
          <w:rFonts w:ascii="Arial" w:hAnsi="Arial" w:cs="Arial"/>
          <w:b/>
        </w:rPr>
        <w:t xml:space="preserve">3. </w:t>
      </w:r>
      <w:r>
        <w:rPr>
          <w:rFonts w:ascii="Arial" w:hAnsi="Arial" w:cs="Arial"/>
          <w:b/>
        </w:rPr>
        <w:t>Study execution</w:t>
      </w:r>
    </w:p>
    <w:p w14:paraId="6E75F47D" w14:textId="77777777" w:rsidR="004A1596" w:rsidRPr="004A1596" w:rsidRDefault="004A1596" w:rsidP="004A1596">
      <w:pPr>
        <w:pStyle w:val="ListParagraph"/>
        <w:spacing w:after="0" w:line="240" w:lineRule="auto"/>
        <w:ind w:left="1080"/>
        <w:rPr>
          <w:rFonts w:ascii="Arial" w:hAnsi="Arial" w:cs="Arial"/>
          <w:b/>
        </w:rPr>
      </w:pPr>
    </w:p>
    <w:p w14:paraId="3E314F81" w14:textId="4A31A7DC" w:rsidR="004A1596" w:rsidRPr="004A1596" w:rsidRDefault="004A1596" w:rsidP="004A1596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Randomization </w:t>
      </w:r>
    </w:p>
    <w:p w14:paraId="04C3D784" w14:textId="5CF71CB2" w:rsidR="004A1596" w:rsidRDefault="00FB4428" w:rsidP="004A1596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Metadata </w:t>
      </w:r>
      <w:r w:rsidR="00D9749A">
        <w:rPr>
          <w:rFonts w:ascii="Arial" w:hAnsi="Arial" w:cs="Arial"/>
        </w:rPr>
        <w:t>acquisition</w:t>
      </w:r>
    </w:p>
    <w:p w14:paraId="60B298DC" w14:textId="699C0681" w:rsidR="00DA3111" w:rsidRPr="004A1596" w:rsidRDefault="00AD0BA7" w:rsidP="004A1596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Metabolite</w:t>
      </w:r>
      <w:r w:rsidR="00DA3111">
        <w:rPr>
          <w:rFonts w:ascii="Arial" w:hAnsi="Arial" w:cs="Arial"/>
        </w:rPr>
        <w:t xml:space="preserve"> extraction and derivatization</w:t>
      </w:r>
    </w:p>
    <w:p w14:paraId="682F99A6" w14:textId="0E461B9A" w:rsidR="004A1596" w:rsidRDefault="00FB4428" w:rsidP="004A1596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Sample pooling for </w:t>
      </w:r>
      <w:r w:rsidR="00DA3111">
        <w:rPr>
          <w:rFonts w:ascii="Arial" w:hAnsi="Arial" w:cs="Arial"/>
        </w:rPr>
        <w:t>conditioning, data screening and batch effect removal</w:t>
      </w:r>
    </w:p>
    <w:p w14:paraId="6A9CE517" w14:textId="120BD50C" w:rsidR="00DA3111" w:rsidRDefault="00DA3111" w:rsidP="004A1596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Data acquisition and data processing</w:t>
      </w:r>
    </w:p>
    <w:p w14:paraId="31FB4BA9" w14:textId="03A8A8CB" w:rsidR="00DA3111" w:rsidRPr="004A1596" w:rsidRDefault="00DA3111" w:rsidP="004A1596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Data annotation and reporting</w:t>
      </w:r>
    </w:p>
    <w:p w14:paraId="30208ED7" w14:textId="1BB645B2" w:rsidR="004A1596" w:rsidRPr="003870CE" w:rsidRDefault="004A1596" w:rsidP="004A1596">
      <w:pPr>
        <w:spacing w:after="0" w:line="240" w:lineRule="auto"/>
        <w:rPr>
          <w:rFonts w:ascii="Arial" w:hAnsi="Arial" w:cs="Arial"/>
        </w:rPr>
      </w:pPr>
      <w:r w:rsidRPr="004A1596">
        <w:rPr>
          <w:rFonts w:ascii="Arial" w:hAnsi="Arial" w:cs="Arial"/>
        </w:rPr>
        <w:t xml:space="preserve"> </w:t>
      </w:r>
    </w:p>
    <w:p w14:paraId="7C5E7AA3" w14:textId="3A084898" w:rsidR="008367EF" w:rsidRPr="004A1596" w:rsidRDefault="008367EF" w:rsidP="003870CE">
      <w:pPr>
        <w:spacing w:before="120" w:after="0" w:line="240" w:lineRule="auto"/>
        <w:rPr>
          <w:rFonts w:ascii="Arial" w:hAnsi="Arial" w:cs="Arial"/>
          <w:b/>
          <w:u w:val="single"/>
        </w:rPr>
      </w:pPr>
      <w:r w:rsidRPr="006F778D">
        <w:rPr>
          <w:rFonts w:ascii="Arial" w:hAnsi="Arial" w:cs="Arial"/>
          <w:b/>
          <w:u w:val="single"/>
        </w:rPr>
        <w:t>Research Compliance</w:t>
      </w:r>
    </w:p>
    <w:p w14:paraId="7A8D8C83" w14:textId="6CB93EB8" w:rsidR="006F778D" w:rsidRDefault="008367EF" w:rsidP="003870CE">
      <w:pPr>
        <w:spacing w:before="120" w:after="0" w:line="240" w:lineRule="auto"/>
        <w:rPr>
          <w:rFonts w:ascii="Arial" w:hAnsi="Arial" w:cs="Arial"/>
        </w:rPr>
      </w:pPr>
      <w:r w:rsidRPr="004A1596">
        <w:rPr>
          <w:rFonts w:ascii="Arial" w:hAnsi="Arial" w:cs="Arial"/>
        </w:rPr>
        <w:t xml:space="preserve">The PI is responsible for </w:t>
      </w:r>
      <w:r w:rsidR="006F778D">
        <w:rPr>
          <w:rFonts w:ascii="Arial" w:hAnsi="Arial" w:cs="Arial"/>
        </w:rPr>
        <w:t>providing</w:t>
      </w:r>
      <w:r w:rsidR="006F778D" w:rsidRPr="006F778D">
        <w:rPr>
          <w:rFonts w:ascii="Arial" w:hAnsi="Arial" w:cs="Arial"/>
        </w:rPr>
        <w:t xml:space="preserve"> limited study meta-data (e.g., sample type, origin, intervention, treatment and control groups, if appropriate: age, sex, weight/BMI) received prior to analysis, approved sample manifest prior to shipment, </w:t>
      </w:r>
      <w:r w:rsidR="006F778D">
        <w:rPr>
          <w:rFonts w:ascii="Arial" w:hAnsi="Arial" w:cs="Arial"/>
        </w:rPr>
        <w:t xml:space="preserve">shared data use, and inclusion </w:t>
      </w:r>
      <w:r w:rsidR="006F778D" w:rsidRPr="006F778D">
        <w:rPr>
          <w:rFonts w:ascii="Arial" w:hAnsi="Arial" w:cs="Arial"/>
        </w:rPr>
        <w:t>of Core PI and/or assay operat</w:t>
      </w:r>
      <w:r w:rsidR="006F778D">
        <w:rPr>
          <w:rFonts w:ascii="Arial" w:hAnsi="Arial" w:cs="Arial"/>
        </w:rPr>
        <w:t>ions research associate/postdoc</w:t>
      </w:r>
      <w:r w:rsidR="006F778D" w:rsidRPr="006F778D">
        <w:rPr>
          <w:rFonts w:ascii="Arial" w:hAnsi="Arial" w:cs="Arial"/>
        </w:rPr>
        <w:t xml:space="preserve"> on abstracts, publications, or grants (if appropr</w:t>
      </w:r>
      <w:r w:rsidR="006F778D">
        <w:rPr>
          <w:rFonts w:ascii="Arial" w:hAnsi="Arial" w:cs="Arial"/>
        </w:rPr>
        <w:t>iate) derived from use of results from core assays priced under core subsidy schemes</w:t>
      </w:r>
      <w:r w:rsidR="00A21373">
        <w:rPr>
          <w:rFonts w:ascii="Arial" w:hAnsi="Arial" w:cs="Arial"/>
        </w:rPr>
        <w:t xml:space="preserve"> and collaborative fee-for-service users</w:t>
      </w:r>
      <w:r w:rsidR="006F778D">
        <w:rPr>
          <w:rFonts w:ascii="Arial" w:hAnsi="Arial" w:cs="Arial"/>
        </w:rPr>
        <w:t xml:space="preserve">. </w:t>
      </w:r>
      <w:r w:rsidR="00D7116C">
        <w:rPr>
          <w:rFonts w:ascii="Arial" w:hAnsi="Arial" w:cs="Arial"/>
        </w:rPr>
        <w:t>Fee-for-</w:t>
      </w:r>
      <w:r w:rsidR="006F778D">
        <w:rPr>
          <w:rFonts w:ascii="Arial" w:hAnsi="Arial" w:cs="Arial"/>
        </w:rPr>
        <w:t>service under full pricing structure is available for external and commercial users requiring no core support beyond providing assay data; in which case data would be the sole property of the core user. Samples will be returned or destroyed after analysis or publication at the request of the core user.</w:t>
      </w:r>
    </w:p>
    <w:p w14:paraId="5142BD27" w14:textId="49B771B0" w:rsidR="008367EF" w:rsidRPr="004A1596" w:rsidRDefault="008367EF" w:rsidP="004A1596">
      <w:pPr>
        <w:spacing w:after="0" w:line="240" w:lineRule="auto"/>
        <w:rPr>
          <w:rFonts w:ascii="Arial" w:hAnsi="Arial" w:cs="Arial"/>
          <w:b/>
          <w:u w:val="single"/>
        </w:rPr>
      </w:pPr>
    </w:p>
    <w:p w14:paraId="571F7189" w14:textId="237D6239" w:rsidR="005E07EF" w:rsidRPr="003870CE" w:rsidRDefault="00E8782E" w:rsidP="003870CE">
      <w:pPr>
        <w:spacing w:before="120" w:after="0" w:line="240" w:lineRule="auto"/>
        <w:rPr>
          <w:rFonts w:ascii="Arial" w:hAnsi="Arial" w:cs="Arial"/>
          <w:b/>
          <w:u w:val="single"/>
        </w:rPr>
      </w:pPr>
      <w:r w:rsidRPr="004A1596">
        <w:rPr>
          <w:rFonts w:ascii="Arial" w:hAnsi="Arial" w:cs="Arial"/>
          <w:b/>
          <w:u w:val="single"/>
        </w:rPr>
        <w:t>Responsibilities of the Principal Investigators</w:t>
      </w:r>
    </w:p>
    <w:p w14:paraId="5D93D748" w14:textId="0147C3E4" w:rsidR="006F778D" w:rsidRPr="00E806BE" w:rsidRDefault="006F778D" w:rsidP="003870CE">
      <w:pPr>
        <w:pStyle w:val="ListParagraph"/>
        <w:numPr>
          <w:ilvl w:val="0"/>
          <w:numId w:val="17"/>
        </w:numPr>
        <w:spacing w:before="120" w:after="0" w:line="240" w:lineRule="auto"/>
        <w:ind w:left="360"/>
        <w:rPr>
          <w:rFonts w:ascii="Arial" w:hAnsi="Arial" w:cs="Arial"/>
        </w:rPr>
      </w:pPr>
      <w:r w:rsidRPr="00E806BE">
        <w:rPr>
          <w:rFonts w:ascii="Arial" w:hAnsi="Arial" w:cs="Arial"/>
        </w:rPr>
        <w:t xml:space="preserve">The PI should meet with the MACC Director and Manager to develop the </w:t>
      </w:r>
      <w:r w:rsidR="00A21373">
        <w:rPr>
          <w:rFonts w:ascii="Arial" w:hAnsi="Arial" w:cs="Arial"/>
        </w:rPr>
        <w:t>project budget</w:t>
      </w:r>
      <w:r w:rsidRPr="00E806BE">
        <w:rPr>
          <w:rFonts w:ascii="Arial" w:hAnsi="Arial" w:cs="Arial"/>
        </w:rPr>
        <w:t>.</w:t>
      </w:r>
    </w:p>
    <w:p w14:paraId="18532A24" w14:textId="7CBC1FC2" w:rsidR="005E07EF" w:rsidRPr="00E806BE" w:rsidRDefault="005C7D8C" w:rsidP="003870CE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Arial" w:hAnsi="Arial" w:cs="Arial"/>
        </w:rPr>
      </w:pPr>
      <w:r w:rsidRPr="00E806BE">
        <w:rPr>
          <w:rFonts w:ascii="Arial" w:hAnsi="Arial" w:cs="Arial"/>
        </w:rPr>
        <w:t xml:space="preserve">The </w:t>
      </w:r>
      <w:r w:rsidR="005E07EF" w:rsidRPr="00E806BE">
        <w:rPr>
          <w:rFonts w:ascii="Arial" w:hAnsi="Arial" w:cs="Arial"/>
        </w:rPr>
        <w:t>PI shoul</w:t>
      </w:r>
      <w:r w:rsidR="006F778D" w:rsidRPr="00E806BE">
        <w:rPr>
          <w:rFonts w:ascii="Arial" w:hAnsi="Arial" w:cs="Arial"/>
        </w:rPr>
        <w:t>d work with the MACC</w:t>
      </w:r>
      <w:r w:rsidR="005E07EF" w:rsidRPr="00E806BE">
        <w:rPr>
          <w:rFonts w:ascii="Arial" w:hAnsi="Arial" w:cs="Arial"/>
        </w:rPr>
        <w:t xml:space="preserve"> Director and Man</w:t>
      </w:r>
      <w:r w:rsidRPr="00E806BE">
        <w:rPr>
          <w:rFonts w:ascii="Arial" w:hAnsi="Arial" w:cs="Arial"/>
        </w:rPr>
        <w:t>a</w:t>
      </w:r>
      <w:r w:rsidR="005E07EF" w:rsidRPr="00E806BE">
        <w:rPr>
          <w:rFonts w:ascii="Arial" w:hAnsi="Arial" w:cs="Arial"/>
        </w:rPr>
        <w:t xml:space="preserve">ger when developing </w:t>
      </w:r>
      <w:r w:rsidR="006F778D" w:rsidRPr="00E806BE">
        <w:rPr>
          <w:rFonts w:ascii="Arial" w:hAnsi="Arial" w:cs="Arial"/>
        </w:rPr>
        <w:t>sample and shipping manifests</w:t>
      </w:r>
      <w:r w:rsidRPr="00E806BE">
        <w:rPr>
          <w:rFonts w:ascii="Arial" w:hAnsi="Arial" w:cs="Arial"/>
        </w:rPr>
        <w:t>.</w:t>
      </w:r>
    </w:p>
    <w:p w14:paraId="728E9C77" w14:textId="0536A988" w:rsidR="005C7D8C" w:rsidRPr="00E806BE" w:rsidRDefault="005E07EF" w:rsidP="003870CE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Arial" w:hAnsi="Arial" w:cs="Arial"/>
        </w:rPr>
      </w:pPr>
      <w:r w:rsidRPr="00E806BE">
        <w:rPr>
          <w:rFonts w:ascii="Arial" w:hAnsi="Arial" w:cs="Arial"/>
        </w:rPr>
        <w:t xml:space="preserve">It is the PI’s responsibility to </w:t>
      </w:r>
      <w:r w:rsidR="006F778D" w:rsidRPr="00E806BE">
        <w:rPr>
          <w:rFonts w:ascii="Arial" w:hAnsi="Arial" w:cs="Arial"/>
        </w:rPr>
        <w:t xml:space="preserve">submit brief description of </w:t>
      </w:r>
      <w:r w:rsidR="00401B71" w:rsidRPr="00E806BE">
        <w:rPr>
          <w:rFonts w:ascii="Arial" w:hAnsi="Arial" w:cs="Arial"/>
        </w:rPr>
        <w:t>username</w:t>
      </w:r>
      <w:r w:rsidR="00E806BE" w:rsidRPr="00E806BE">
        <w:rPr>
          <w:rFonts w:ascii="Arial" w:hAnsi="Arial" w:cs="Arial"/>
        </w:rPr>
        <w:t>, institution, email, study/experiment details, p</w:t>
      </w:r>
      <w:r w:rsidR="006F778D" w:rsidRPr="00E806BE">
        <w:rPr>
          <w:rFonts w:ascii="Arial" w:hAnsi="Arial" w:cs="Arial"/>
        </w:rPr>
        <w:t xml:space="preserve">roject title, </w:t>
      </w:r>
      <w:r w:rsidR="003870CE" w:rsidRPr="00E806BE">
        <w:rPr>
          <w:rFonts w:ascii="Arial" w:hAnsi="Arial" w:cs="Arial"/>
        </w:rPr>
        <w:t>and instrument</w:t>
      </w:r>
      <w:r w:rsidR="006F778D" w:rsidRPr="00E806BE">
        <w:rPr>
          <w:rFonts w:ascii="Arial" w:hAnsi="Arial" w:cs="Arial"/>
        </w:rPr>
        <w:t xml:space="preserve"> or assay requested, sampl</w:t>
      </w:r>
      <w:r w:rsidR="00E806BE" w:rsidRPr="00E806BE">
        <w:rPr>
          <w:rFonts w:ascii="Arial" w:hAnsi="Arial" w:cs="Arial"/>
        </w:rPr>
        <w:t>e matrix, description of how samples were treated, and timeline of request.</w:t>
      </w:r>
    </w:p>
    <w:p w14:paraId="3ADBEE8C" w14:textId="093C0147" w:rsidR="00C3570B" w:rsidRPr="00E806BE" w:rsidRDefault="00E806BE" w:rsidP="003870CE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Arial" w:hAnsi="Arial" w:cs="Arial"/>
        </w:rPr>
      </w:pPr>
      <w:r w:rsidRPr="00E806BE">
        <w:rPr>
          <w:rFonts w:ascii="Arial" w:hAnsi="Arial" w:cs="Arial"/>
        </w:rPr>
        <w:t>Loss of sample integrity from specimens not shipped on appropriate amounts of dry ice and/or received during “o</w:t>
      </w:r>
      <w:r w:rsidR="005C7D8C" w:rsidRPr="00E806BE">
        <w:rPr>
          <w:rFonts w:ascii="Arial" w:hAnsi="Arial" w:cs="Arial"/>
        </w:rPr>
        <w:t>ut of hours</w:t>
      </w:r>
      <w:r w:rsidRPr="00E806BE">
        <w:rPr>
          <w:rFonts w:ascii="Arial" w:hAnsi="Arial" w:cs="Arial"/>
        </w:rPr>
        <w:t xml:space="preserve">”, weekends or </w:t>
      </w:r>
      <w:r w:rsidR="00C3570B" w:rsidRPr="00E806BE">
        <w:rPr>
          <w:rFonts w:ascii="Arial" w:hAnsi="Arial" w:cs="Arial"/>
        </w:rPr>
        <w:t>holiday</w:t>
      </w:r>
      <w:r w:rsidRPr="00E806BE">
        <w:rPr>
          <w:rFonts w:ascii="Arial" w:hAnsi="Arial" w:cs="Arial"/>
        </w:rPr>
        <w:t>s</w:t>
      </w:r>
      <w:r w:rsidR="00C3570B" w:rsidRPr="00E806BE">
        <w:rPr>
          <w:rFonts w:ascii="Arial" w:hAnsi="Arial" w:cs="Arial"/>
        </w:rPr>
        <w:t xml:space="preserve"> is the responsibility of</w:t>
      </w:r>
      <w:r w:rsidR="00A71671" w:rsidRPr="00E806BE">
        <w:rPr>
          <w:rFonts w:ascii="Arial" w:hAnsi="Arial" w:cs="Arial"/>
        </w:rPr>
        <w:t xml:space="preserve"> the PI</w:t>
      </w:r>
      <w:r w:rsidR="00C3570B" w:rsidRPr="00E806BE">
        <w:rPr>
          <w:rFonts w:ascii="Arial" w:hAnsi="Arial" w:cs="Arial"/>
        </w:rPr>
        <w:t xml:space="preserve">. </w:t>
      </w:r>
    </w:p>
    <w:p w14:paraId="603925DE" w14:textId="77777777" w:rsidR="005E07EF" w:rsidRPr="004A1596" w:rsidRDefault="005E07EF" w:rsidP="004A1596">
      <w:pPr>
        <w:spacing w:after="0" w:line="240" w:lineRule="auto"/>
        <w:rPr>
          <w:rFonts w:ascii="Arial" w:hAnsi="Arial" w:cs="Arial"/>
        </w:rPr>
      </w:pPr>
    </w:p>
    <w:p w14:paraId="27ED88F5" w14:textId="3C85854F" w:rsidR="00E8782E" w:rsidRPr="003870CE" w:rsidRDefault="005C7D8C" w:rsidP="003870CE">
      <w:pPr>
        <w:spacing w:before="120" w:after="0" w:line="240" w:lineRule="auto"/>
        <w:rPr>
          <w:rFonts w:ascii="Arial" w:hAnsi="Arial" w:cs="Arial"/>
          <w:b/>
          <w:u w:val="single"/>
        </w:rPr>
      </w:pPr>
      <w:r w:rsidRPr="004A1596">
        <w:rPr>
          <w:rFonts w:ascii="Arial" w:hAnsi="Arial" w:cs="Arial"/>
          <w:b/>
          <w:u w:val="single"/>
        </w:rPr>
        <w:t xml:space="preserve">Responsibilities of </w:t>
      </w:r>
      <w:r w:rsidR="00E806BE">
        <w:rPr>
          <w:rFonts w:ascii="Arial" w:hAnsi="Arial" w:cs="Arial"/>
          <w:b/>
          <w:u w:val="single"/>
        </w:rPr>
        <w:t>MACC</w:t>
      </w:r>
      <w:r w:rsidRPr="004A1596">
        <w:rPr>
          <w:rFonts w:ascii="Arial" w:hAnsi="Arial" w:cs="Arial"/>
          <w:b/>
          <w:u w:val="single"/>
        </w:rPr>
        <w:t xml:space="preserve"> Staff</w:t>
      </w:r>
    </w:p>
    <w:p w14:paraId="7D7FB983" w14:textId="77777777" w:rsidR="00E806BE" w:rsidRPr="00E806BE" w:rsidRDefault="00E806BE" w:rsidP="003870CE">
      <w:pPr>
        <w:pStyle w:val="ListParagraph"/>
        <w:numPr>
          <w:ilvl w:val="0"/>
          <w:numId w:val="18"/>
        </w:numPr>
        <w:spacing w:before="120" w:after="0" w:line="240" w:lineRule="auto"/>
        <w:ind w:left="360"/>
        <w:rPr>
          <w:rFonts w:ascii="Arial" w:hAnsi="Arial" w:cs="Arial"/>
        </w:rPr>
      </w:pPr>
      <w:r w:rsidRPr="00E806BE">
        <w:rPr>
          <w:rFonts w:ascii="Arial" w:hAnsi="Arial" w:cs="Arial"/>
        </w:rPr>
        <w:t>MACC staff will provide appropriate statements of work and invoicing.</w:t>
      </w:r>
    </w:p>
    <w:p w14:paraId="28777B4B" w14:textId="5721618B" w:rsidR="009F1A64" w:rsidRPr="00E806BE" w:rsidRDefault="00E806BE" w:rsidP="003870CE">
      <w:pPr>
        <w:pStyle w:val="ListParagraph"/>
        <w:numPr>
          <w:ilvl w:val="0"/>
          <w:numId w:val="18"/>
        </w:numPr>
        <w:spacing w:after="0" w:line="240" w:lineRule="auto"/>
        <w:ind w:left="360"/>
        <w:rPr>
          <w:rFonts w:ascii="Arial" w:hAnsi="Arial" w:cs="Arial"/>
        </w:rPr>
      </w:pPr>
      <w:r w:rsidRPr="00E806BE">
        <w:rPr>
          <w:rFonts w:ascii="Arial" w:hAnsi="Arial" w:cs="Arial"/>
        </w:rPr>
        <w:t>MACC</w:t>
      </w:r>
      <w:r w:rsidR="005C7D8C" w:rsidRPr="00E806BE">
        <w:rPr>
          <w:rFonts w:ascii="Arial" w:hAnsi="Arial" w:cs="Arial"/>
        </w:rPr>
        <w:t xml:space="preserve"> staff</w:t>
      </w:r>
      <w:r w:rsidR="00C3570B" w:rsidRPr="00E806BE">
        <w:rPr>
          <w:rFonts w:ascii="Arial" w:hAnsi="Arial" w:cs="Arial"/>
        </w:rPr>
        <w:t xml:space="preserve"> will </w:t>
      </w:r>
      <w:r w:rsidRPr="00E806BE">
        <w:rPr>
          <w:rFonts w:ascii="Arial" w:hAnsi="Arial" w:cs="Arial"/>
        </w:rPr>
        <w:t>receive and appropriately catalog and store samples</w:t>
      </w:r>
      <w:r w:rsidR="005C7D8C" w:rsidRPr="00E806BE">
        <w:rPr>
          <w:rFonts w:ascii="Arial" w:hAnsi="Arial" w:cs="Arial"/>
        </w:rPr>
        <w:t>.</w:t>
      </w:r>
    </w:p>
    <w:p w14:paraId="6D34CB0F" w14:textId="5D0F2FE4" w:rsidR="00C3570B" w:rsidRPr="00E806BE" w:rsidRDefault="00E806BE" w:rsidP="003870CE">
      <w:pPr>
        <w:pStyle w:val="ListParagraph"/>
        <w:numPr>
          <w:ilvl w:val="0"/>
          <w:numId w:val="18"/>
        </w:numPr>
        <w:spacing w:after="0" w:line="240" w:lineRule="auto"/>
        <w:ind w:left="360"/>
        <w:rPr>
          <w:rFonts w:ascii="Arial" w:hAnsi="Arial" w:cs="Arial"/>
        </w:rPr>
      </w:pPr>
      <w:r w:rsidRPr="00E806BE">
        <w:rPr>
          <w:rFonts w:ascii="Arial" w:hAnsi="Arial" w:cs="Arial"/>
        </w:rPr>
        <w:t>Trained MACC</w:t>
      </w:r>
      <w:r w:rsidR="005C7D8C" w:rsidRPr="00E806BE">
        <w:rPr>
          <w:rFonts w:ascii="Arial" w:hAnsi="Arial" w:cs="Arial"/>
        </w:rPr>
        <w:t xml:space="preserve"> staff </w:t>
      </w:r>
      <w:r w:rsidR="00C3570B" w:rsidRPr="00E806BE">
        <w:rPr>
          <w:rFonts w:ascii="Arial" w:hAnsi="Arial" w:cs="Arial"/>
        </w:rPr>
        <w:t xml:space="preserve">will perform </w:t>
      </w:r>
      <w:r w:rsidRPr="00E806BE">
        <w:rPr>
          <w:rFonts w:ascii="Arial" w:hAnsi="Arial" w:cs="Arial"/>
        </w:rPr>
        <w:t>analysis following standard operating procedures using in-</w:t>
      </w:r>
      <w:r>
        <w:rPr>
          <w:rFonts w:ascii="Arial" w:hAnsi="Arial" w:cs="Arial"/>
        </w:rPr>
        <w:t>h</w:t>
      </w:r>
      <w:r w:rsidRPr="00E806BE">
        <w:rPr>
          <w:rFonts w:ascii="Arial" w:hAnsi="Arial" w:cs="Arial"/>
        </w:rPr>
        <w:t>ouse validated assays</w:t>
      </w:r>
      <w:r w:rsidR="003870CE">
        <w:rPr>
          <w:rFonts w:ascii="Arial" w:hAnsi="Arial" w:cs="Arial"/>
        </w:rPr>
        <w:t>.</w:t>
      </w:r>
    </w:p>
    <w:p w14:paraId="151087E3" w14:textId="5404F52B" w:rsidR="00A71671" w:rsidRPr="00E806BE" w:rsidRDefault="00E806BE" w:rsidP="003870CE">
      <w:pPr>
        <w:pStyle w:val="ListParagraph"/>
        <w:numPr>
          <w:ilvl w:val="0"/>
          <w:numId w:val="18"/>
        </w:numPr>
        <w:spacing w:after="0" w:line="240" w:lineRule="auto"/>
        <w:ind w:left="360"/>
        <w:rPr>
          <w:rFonts w:ascii="Arial" w:hAnsi="Arial" w:cs="Arial"/>
        </w:rPr>
      </w:pPr>
      <w:r w:rsidRPr="00E806BE">
        <w:rPr>
          <w:rFonts w:ascii="Arial" w:hAnsi="Arial" w:cs="Arial"/>
        </w:rPr>
        <w:t>MACC staff will provide QC’ed reports of assay data.</w:t>
      </w:r>
    </w:p>
    <w:p w14:paraId="612EB863" w14:textId="77777777" w:rsidR="00A71671" w:rsidRDefault="00A71671" w:rsidP="004A1596">
      <w:pPr>
        <w:spacing w:after="0" w:line="240" w:lineRule="auto"/>
        <w:rPr>
          <w:rFonts w:ascii="Arial" w:hAnsi="Arial" w:cs="Arial"/>
        </w:rPr>
      </w:pPr>
    </w:p>
    <w:p w14:paraId="45079A89" w14:textId="4619FEF4" w:rsidR="008B3DD2" w:rsidRPr="004A1596" w:rsidRDefault="008B3DD2" w:rsidP="003870CE">
      <w:pPr>
        <w:spacing w:before="120"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Non USDA funded research</w:t>
      </w:r>
    </w:p>
    <w:p w14:paraId="0AE1B5DA" w14:textId="05518B46" w:rsidR="008B3DD2" w:rsidRPr="004A1596" w:rsidRDefault="008B3DD2" w:rsidP="003870CE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4A1596">
        <w:rPr>
          <w:rFonts w:ascii="Arial" w:hAnsi="Arial" w:cs="Arial"/>
        </w:rPr>
        <w:t xml:space="preserve">he </w:t>
      </w:r>
      <w:r w:rsidR="00E806BE">
        <w:rPr>
          <w:rFonts w:ascii="Arial" w:hAnsi="Arial" w:cs="Arial"/>
        </w:rPr>
        <w:t>MACC</w:t>
      </w:r>
      <w:r>
        <w:rPr>
          <w:rFonts w:ascii="Arial" w:hAnsi="Arial" w:cs="Arial"/>
        </w:rPr>
        <w:t xml:space="preserve"> can provide fee-for-service support to non-USDA funded research. </w:t>
      </w:r>
      <w:r w:rsidRPr="004A159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PI should meet </w:t>
      </w:r>
      <w:r w:rsidRPr="004A1596">
        <w:rPr>
          <w:rFonts w:ascii="Arial" w:hAnsi="Arial" w:cs="Arial"/>
        </w:rPr>
        <w:t xml:space="preserve">with the </w:t>
      </w:r>
      <w:r w:rsidR="00E806BE">
        <w:rPr>
          <w:rFonts w:ascii="Arial" w:hAnsi="Arial" w:cs="Arial"/>
        </w:rPr>
        <w:t>MACC</w:t>
      </w:r>
      <w:r w:rsidRPr="004A1596">
        <w:rPr>
          <w:rFonts w:ascii="Arial" w:hAnsi="Arial" w:cs="Arial"/>
        </w:rPr>
        <w:t xml:space="preserve"> Director and</w:t>
      </w:r>
      <w:r w:rsidR="00D7116C">
        <w:rPr>
          <w:rFonts w:ascii="Arial" w:hAnsi="Arial" w:cs="Arial"/>
        </w:rPr>
        <w:t>/or</w:t>
      </w:r>
      <w:r w:rsidRPr="004A1596">
        <w:rPr>
          <w:rFonts w:ascii="Arial" w:hAnsi="Arial" w:cs="Arial"/>
        </w:rPr>
        <w:t xml:space="preserve"> Manager to develop </w:t>
      </w:r>
      <w:r>
        <w:rPr>
          <w:rFonts w:ascii="Arial" w:hAnsi="Arial" w:cs="Arial"/>
        </w:rPr>
        <w:t>a</w:t>
      </w:r>
      <w:r w:rsidR="00E806BE">
        <w:rPr>
          <w:rFonts w:ascii="Arial" w:hAnsi="Arial" w:cs="Arial"/>
        </w:rPr>
        <w:t xml:space="preserve"> budget</w:t>
      </w:r>
      <w:r>
        <w:rPr>
          <w:rFonts w:ascii="Arial" w:hAnsi="Arial" w:cs="Arial"/>
        </w:rPr>
        <w:t xml:space="preserve">. A quote will then be </w:t>
      </w:r>
      <w:r w:rsidR="003870CE">
        <w:rPr>
          <w:rFonts w:ascii="Arial" w:hAnsi="Arial" w:cs="Arial"/>
        </w:rPr>
        <w:t xml:space="preserve">generated </w:t>
      </w:r>
      <w:r>
        <w:rPr>
          <w:rFonts w:ascii="Arial" w:hAnsi="Arial" w:cs="Arial"/>
        </w:rPr>
        <w:t xml:space="preserve">estimating the fee’s associated. </w:t>
      </w:r>
      <w:r w:rsidR="00ED7307">
        <w:rPr>
          <w:rFonts w:ascii="Arial" w:hAnsi="Arial" w:cs="Arial"/>
        </w:rPr>
        <w:t>T</w:t>
      </w:r>
      <w:r w:rsidR="00D7116C">
        <w:rPr>
          <w:rFonts w:ascii="Arial" w:hAnsi="Arial" w:cs="Arial"/>
        </w:rPr>
        <w:t xml:space="preserve">imelines </w:t>
      </w:r>
      <w:r>
        <w:rPr>
          <w:rFonts w:ascii="Arial" w:hAnsi="Arial" w:cs="Arial"/>
        </w:rPr>
        <w:t>for non-USDA projects will be dependent on the</w:t>
      </w:r>
      <w:r w:rsidR="00ED7307">
        <w:rPr>
          <w:rFonts w:ascii="Arial" w:hAnsi="Arial" w:cs="Arial"/>
        </w:rPr>
        <w:t xml:space="preserve"> core</w:t>
      </w:r>
      <w:r>
        <w:rPr>
          <w:rFonts w:ascii="Arial" w:hAnsi="Arial" w:cs="Arial"/>
        </w:rPr>
        <w:t xml:space="preserve"> availability.</w:t>
      </w:r>
      <w:r w:rsidR="00B87F31">
        <w:rPr>
          <w:rFonts w:ascii="Arial" w:hAnsi="Arial" w:cs="Arial"/>
        </w:rPr>
        <w:t xml:space="preserve"> Upon the agreement, the </w:t>
      </w:r>
      <w:r w:rsidR="00D506EA">
        <w:rPr>
          <w:rFonts w:ascii="Arial" w:hAnsi="Arial" w:cs="Arial"/>
        </w:rPr>
        <w:t>subcontract of fee-for-service project will be generated by ACRI and the finance department of the core user.</w:t>
      </w:r>
    </w:p>
    <w:sectPr w:rsidR="008B3DD2" w:rsidRPr="004A1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34E"/>
    <w:multiLevelType w:val="hybridMultilevel"/>
    <w:tmpl w:val="33E8BF94"/>
    <w:lvl w:ilvl="0" w:tplc="9002469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5BCD"/>
    <w:multiLevelType w:val="hybridMultilevel"/>
    <w:tmpl w:val="3B6AB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129E5"/>
    <w:multiLevelType w:val="multilevel"/>
    <w:tmpl w:val="C89A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3327B"/>
    <w:multiLevelType w:val="hybridMultilevel"/>
    <w:tmpl w:val="ADE48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752D2"/>
    <w:multiLevelType w:val="hybridMultilevel"/>
    <w:tmpl w:val="6AAA7A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3B97"/>
    <w:multiLevelType w:val="hybridMultilevel"/>
    <w:tmpl w:val="3BA22050"/>
    <w:lvl w:ilvl="0" w:tplc="5E1264A2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8A3A13"/>
    <w:multiLevelType w:val="multilevel"/>
    <w:tmpl w:val="3164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D66B4"/>
    <w:multiLevelType w:val="hybridMultilevel"/>
    <w:tmpl w:val="6388F646"/>
    <w:lvl w:ilvl="0" w:tplc="A8C071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CB06780"/>
    <w:multiLevelType w:val="hybridMultilevel"/>
    <w:tmpl w:val="33E8BF94"/>
    <w:lvl w:ilvl="0" w:tplc="9002469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44FE9"/>
    <w:multiLevelType w:val="hybridMultilevel"/>
    <w:tmpl w:val="33E8BF94"/>
    <w:lvl w:ilvl="0" w:tplc="9002469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D3883"/>
    <w:multiLevelType w:val="hybridMultilevel"/>
    <w:tmpl w:val="7A324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9387C"/>
    <w:multiLevelType w:val="hybridMultilevel"/>
    <w:tmpl w:val="729C6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74E06"/>
    <w:multiLevelType w:val="hybridMultilevel"/>
    <w:tmpl w:val="33E8BF94"/>
    <w:lvl w:ilvl="0" w:tplc="9002469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47800"/>
    <w:multiLevelType w:val="hybridMultilevel"/>
    <w:tmpl w:val="33E8BF94"/>
    <w:lvl w:ilvl="0" w:tplc="9002469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64371"/>
    <w:multiLevelType w:val="hybridMultilevel"/>
    <w:tmpl w:val="66067E88"/>
    <w:lvl w:ilvl="0" w:tplc="74BCB2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23D6C32"/>
    <w:multiLevelType w:val="hybridMultilevel"/>
    <w:tmpl w:val="16CAC71A"/>
    <w:lvl w:ilvl="0" w:tplc="1A185E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3526BBD"/>
    <w:multiLevelType w:val="hybridMultilevel"/>
    <w:tmpl w:val="02BA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D744D"/>
    <w:multiLevelType w:val="hybridMultilevel"/>
    <w:tmpl w:val="CB7CE90E"/>
    <w:lvl w:ilvl="0" w:tplc="64767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1481448">
    <w:abstractNumId w:val="17"/>
  </w:num>
  <w:num w:numId="2" w16cid:durableId="726152245">
    <w:abstractNumId w:val="7"/>
  </w:num>
  <w:num w:numId="3" w16cid:durableId="1322849778">
    <w:abstractNumId w:val="15"/>
  </w:num>
  <w:num w:numId="4" w16cid:durableId="770203551">
    <w:abstractNumId w:val="5"/>
  </w:num>
  <w:num w:numId="5" w16cid:durableId="978220846">
    <w:abstractNumId w:val="14"/>
  </w:num>
  <w:num w:numId="6" w16cid:durableId="1504516898">
    <w:abstractNumId w:val="4"/>
  </w:num>
  <w:num w:numId="7" w16cid:durableId="876506648">
    <w:abstractNumId w:val="12"/>
  </w:num>
  <w:num w:numId="8" w16cid:durableId="2121992171">
    <w:abstractNumId w:val="8"/>
  </w:num>
  <w:num w:numId="9" w16cid:durableId="1341809737">
    <w:abstractNumId w:val="0"/>
  </w:num>
  <w:num w:numId="10" w16cid:durableId="982781545">
    <w:abstractNumId w:val="9"/>
  </w:num>
  <w:num w:numId="11" w16cid:durableId="1945920177">
    <w:abstractNumId w:val="13"/>
  </w:num>
  <w:num w:numId="12" w16cid:durableId="1802504403">
    <w:abstractNumId w:val="2"/>
  </w:num>
  <w:num w:numId="13" w16cid:durableId="1036924398">
    <w:abstractNumId w:val="6"/>
  </w:num>
  <w:num w:numId="14" w16cid:durableId="500587341">
    <w:abstractNumId w:val="16"/>
  </w:num>
  <w:num w:numId="15" w16cid:durableId="1103573222">
    <w:abstractNumId w:val="3"/>
  </w:num>
  <w:num w:numId="16" w16cid:durableId="1539396908">
    <w:abstractNumId w:val="1"/>
  </w:num>
  <w:num w:numId="17" w16cid:durableId="1486818004">
    <w:abstractNumId w:val="11"/>
  </w:num>
  <w:num w:numId="18" w16cid:durableId="803081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EE"/>
    <w:rsid w:val="00014F87"/>
    <w:rsid w:val="000D1527"/>
    <w:rsid w:val="001760D6"/>
    <w:rsid w:val="00376377"/>
    <w:rsid w:val="003870CE"/>
    <w:rsid w:val="003B11EE"/>
    <w:rsid w:val="003E25CD"/>
    <w:rsid w:val="00401B71"/>
    <w:rsid w:val="004A1596"/>
    <w:rsid w:val="0056414A"/>
    <w:rsid w:val="00573F10"/>
    <w:rsid w:val="005C7D8C"/>
    <w:rsid w:val="005D71E7"/>
    <w:rsid w:val="005E07EF"/>
    <w:rsid w:val="006F778D"/>
    <w:rsid w:val="00735BDD"/>
    <w:rsid w:val="008367EF"/>
    <w:rsid w:val="008B3DD2"/>
    <w:rsid w:val="008F7370"/>
    <w:rsid w:val="00937B25"/>
    <w:rsid w:val="00940086"/>
    <w:rsid w:val="009F1A64"/>
    <w:rsid w:val="00A21373"/>
    <w:rsid w:val="00A660E6"/>
    <w:rsid w:val="00A71671"/>
    <w:rsid w:val="00A81910"/>
    <w:rsid w:val="00AD0BA7"/>
    <w:rsid w:val="00AE0266"/>
    <w:rsid w:val="00B87F31"/>
    <w:rsid w:val="00BA5374"/>
    <w:rsid w:val="00BA6710"/>
    <w:rsid w:val="00BF5ABD"/>
    <w:rsid w:val="00C3570B"/>
    <w:rsid w:val="00D506EA"/>
    <w:rsid w:val="00D51FD5"/>
    <w:rsid w:val="00D7116C"/>
    <w:rsid w:val="00D7798B"/>
    <w:rsid w:val="00D9749A"/>
    <w:rsid w:val="00DA3111"/>
    <w:rsid w:val="00E806BE"/>
    <w:rsid w:val="00E8782E"/>
    <w:rsid w:val="00ED7307"/>
    <w:rsid w:val="00FB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D6769"/>
  <w15:chartTrackingRefBased/>
  <w15:docId w15:val="{9A37F575-8787-46B6-84B1-F0EA3623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1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6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63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63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3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760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8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7E5E1EB18EF43AA1FEBACCE76CFF8" ma:contentTypeVersion="18" ma:contentTypeDescription="Create a new document." ma:contentTypeScope="" ma:versionID="4745e682c1915cd520b09122184c22df">
  <xsd:schema xmlns:xsd="http://www.w3.org/2001/XMLSchema" xmlns:xs="http://www.w3.org/2001/XMLSchema" xmlns:p="http://schemas.microsoft.com/office/2006/metadata/properties" xmlns:ns3="73721aa8-e886-4250-9948-d590c799c32b" xmlns:ns4="ab7cb879-a4f4-4177-bce6-ff02c83d1210" targetNamespace="http://schemas.microsoft.com/office/2006/metadata/properties" ma:root="true" ma:fieldsID="3f53505e3e02162d397ecef7ebd528db" ns3:_="" ns4:_="">
    <xsd:import namespace="73721aa8-e886-4250-9948-d590c799c32b"/>
    <xsd:import namespace="ab7cb879-a4f4-4177-bce6-ff02c83d12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21aa8-e886-4250-9948-d590c799c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cb879-a4f4-4177-bce6-ff02c83d1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721aa8-e886-4250-9948-d590c799c32b" xsi:nil="true"/>
  </documentManagement>
</p:properties>
</file>

<file path=customXml/itemProps1.xml><?xml version="1.0" encoding="utf-8"?>
<ds:datastoreItem xmlns:ds="http://schemas.openxmlformats.org/officeDocument/2006/customXml" ds:itemID="{5988CC42-2A77-4180-AAD3-B4F1046E1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D7672-6F96-4303-B607-DFCFF2CA6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21aa8-e886-4250-9948-d590c799c32b"/>
    <ds:schemaRef ds:uri="ab7cb879-a4f4-4177-bce6-ff02c83d1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BB1D4D-4AF1-4424-A09B-AC6A6C04DDE7}">
  <ds:schemaRefs>
    <ds:schemaRef ds:uri="http://purl.org/dc/terms/"/>
    <ds:schemaRef ds:uri="ab7cb879-a4f4-4177-bce6-ff02c83d1210"/>
    <ds:schemaRef ds:uri="73721aa8-e886-4250-9948-d590c799c32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Porter, Craig</dc:creator>
  <cp:keywords/>
  <dc:description/>
  <cp:lastModifiedBy>Lan, Renny</cp:lastModifiedBy>
  <cp:revision>8</cp:revision>
  <dcterms:created xsi:type="dcterms:W3CDTF">2024-03-05T17:07:00Z</dcterms:created>
  <dcterms:modified xsi:type="dcterms:W3CDTF">2024-03-20T18:11:00Z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0x0101008EF7E5E1EB18EF43AA1FEBACCE76CFF8</vt:lpwstr>
  </property>
  <property fmtid="{D5CDD505-2E9C-101B-9397-08002B2CF9AE}" pid="3" name="MSIP_Label_8ca390d5-a4f3-448c-8368-24080179bc53_Enabled">
    <vt:lpwstr>true</vt:lpwstr>
  </property>
  <property fmtid="{D5CDD505-2E9C-101B-9397-08002B2CF9AE}" pid="4" name="MSIP_Label_8ca390d5-a4f3-448c-8368-24080179bc53_SetDate">
    <vt:lpwstr>2024-03-11T17:06:15Z</vt:lpwstr>
  </property>
  <property fmtid="{D5CDD505-2E9C-101B-9397-08002B2CF9AE}" pid="5" name="MSIP_Label_8ca390d5-a4f3-448c-8368-24080179bc53_Method">
    <vt:lpwstr>Standard</vt:lpwstr>
  </property>
  <property fmtid="{D5CDD505-2E9C-101B-9397-08002B2CF9AE}" pid="6" name="MSIP_Label_8ca390d5-a4f3-448c-8368-24080179bc53_Name">
    <vt:lpwstr>Low Risk</vt:lpwstr>
  </property>
  <property fmtid="{D5CDD505-2E9C-101B-9397-08002B2CF9AE}" pid="7" name="MSIP_Label_8ca390d5-a4f3-448c-8368-24080179bc53_SiteId">
    <vt:lpwstr>5b703aa0-061f-4ed9-beca-765a39ee1304</vt:lpwstr>
  </property>
  <property fmtid="{D5CDD505-2E9C-101B-9397-08002B2CF9AE}" pid="8" name="MSIP_Label_8ca390d5-a4f3-448c-8368-24080179bc53_ActionId">
    <vt:lpwstr>552d0c38-3264-4669-9cfe-cfaae2a93743</vt:lpwstr>
  </property>
  <property fmtid="{D5CDD505-2E9C-101B-9397-08002B2CF9AE}" pid="9" name="MSIP_Label_8ca390d5-a4f3-448c-8368-24080179bc53_ContentBits">
    <vt:lpwstr>0</vt:lpwstr>
  </property>
</Properties>
</file>