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840"/>
        <w:gridCol w:w="3942"/>
      </w:tblGrid>
      <w:tr w:rsidR="00B13BFA" w:rsidRPr="00E25FCD" w14:paraId="5B8D4791" w14:textId="77777777" w:rsidTr="00D03B31">
        <w:tc>
          <w:tcPr>
            <w:tcW w:w="6840" w:type="dxa"/>
          </w:tcPr>
          <w:p w14:paraId="2352A7A2" w14:textId="725CB913" w:rsidR="00B13BFA" w:rsidRDefault="00B13BFA" w:rsidP="00D03B31">
            <w:pPr>
              <w:pStyle w:val="Heading1"/>
              <w:rPr>
                <w:szCs w:val="36"/>
              </w:rPr>
            </w:pPr>
            <w:bookmarkStart w:id="0" w:name="_Hlk530574932"/>
            <w:r>
              <w:rPr>
                <w:szCs w:val="36"/>
              </w:rPr>
              <w:t>Cell sorting before 10x Genomics</w:t>
            </w:r>
          </w:p>
          <w:p w14:paraId="6A34F8D3" w14:textId="77777777" w:rsidR="00B13BFA" w:rsidRPr="00B13BFA" w:rsidRDefault="00B13BFA" w:rsidP="00B13BFA"/>
          <w:p w14:paraId="34F5B0F1" w14:textId="7463246C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  <w:b/>
              </w:rPr>
            </w:pPr>
            <w:r w:rsidRPr="005D3BDE">
              <w:rPr>
                <w:rFonts w:ascii="Times New Roman" w:hAnsi="Times New Roman" w:cs="Times New Roman"/>
                <w:b/>
              </w:rPr>
              <w:t>(</w:t>
            </w:r>
            <w:r w:rsidR="005D3BDE">
              <w:rPr>
                <w:rFonts w:ascii="Times New Roman" w:hAnsi="Times New Roman" w:cs="Times New Roman"/>
                <w:b/>
              </w:rPr>
              <w:t xml:space="preserve">in </w:t>
            </w:r>
            <w:r w:rsidRPr="005D3BDE">
              <w:rPr>
                <w:rFonts w:ascii="Times New Roman" w:hAnsi="Times New Roman" w:cs="Times New Roman"/>
                <w:b/>
              </w:rPr>
              <w:t>collaboration between SCS and Flow Cytometry Core)</w:t>
            </w:r>
          </w:p>
          <w:p w14:paraId="5091E524" w14:textId="439D34FA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  <w:b/>
              </w:rPr>
            </w:pPr>
            <w:r w:rsidRPr="005D3BDE">
              <w:rPr>
                <w:rFonts w:ascii="Times New Roman" w:hAnsi="Times New Roman" w:cs="Times New Roman"/>
                <w:b/>
              </w:rPr>
              <w:t xml:space="preserve">Discuss the experimental set up not only with SCS but also with Flow Cytometry to make sure you have </w:t>
            </w:r>
            <w:r w:rsidR="005D3BDE">
              <w:rPr>
                <w:rFonts w:ascii="Times New Roman" w:hAnsi="Times New Roman" w:cs="Times New Roman"/>
                <w:b/>
              </w:rPr>
              <w:t xml:space="preserve">proper </w:t>
            </w:r>
            <w:r w:rsidRPr="005D3BDE">
              <w:rPr>
                <w:rFonts w:ascii="Times New Roman" w:hAnsi="Times New Roman" w:cs="Times New Roman"/>
                <w:b/>
              </w:rPr>
              <w:t>reagents (e.g. antibodies) and know the required flow time</w:t>
            </w:r>
          </w:p>
          <w:p w14:paraId="08107CE2" w14:textId="77777777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  <w:b/>
              </w:rPr>
            </w:pPr>
          </w:p>
          <w:p w14:paraId="7B93A5AB" w14:textId="77777777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D3BDE">
              <w:rPr>
                <w:rFonts w:ascii="Times New Roman" w:hAnsi="Times New Roman" w:cs="Times New Roman"/>
                <w:b/>
                <w:i/>
                <w:u w:val="single"/>
              </w:rPr>
              <w:t>Goal: To enrich for specific cell types based on cell surface markers*</w:t>
            </w:r>
          </w:p>
          <w:p w14:paraId="6A477A78" w14:textId="77777777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  <w:b/>
              </w:rPr>
            </w:pPr>
          </w:p>
          <w:p w14:paraId="5332366B" w14:textId="77777777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</w:rPr>
            </w:pPr>
            <w:r w:rsidRPr="005D3BDE">
              <w:rPr>
                <w:rFonts w:ascii="Times New Roman" w:hAnsi="Times New Roman" w:cs="Times New Roman"/>
                <w:b/>
              </w:rPr>
              <w:t xml:space="preserve">Alternative approach: </w:t>
            </w:r>
            <w:r w:rsidRPr="005D3BDE">
              <w:rPr>
                <w:rFonts w:ascii="Times New Roman" w:hAnsi="Times New Roman" w:cs="Times New Roman"/>
              </w:rPr>
              <w:t xml:space="preserve">If using </w:t>
            </w:r>
            <w:proofErr w:type="spellStart"/>
            <w:r w:rsidRPr="005D3BDE">
              <w:rPr>
                <w:rFonts w:ascii="Times New Roman" w:hAnsi="Times New Roman" w:cs="Times New Roman"/>
              </w:rPr>
              <w:t>Miltenyi</w:t>
            </w:r>
            <w:proofErr w:type="spellEnd"/>
            <w:r w:rsidRPr="005D3BDE">
              <w:rPr>
                <w:rFonts w:ascii="Times New Roman" w:hAnsi="Times New Roman" w:cs="Times New Roman"/>
              </w:rPr>
              <w:t xml:space="preserve"> Biotech beads for cell fractionation, consider the differences compared to cell sorting:</w:t>
            </w:r>
          </w:p>
          <w:p w14:paraId="485E8521" w14:textId="77777777" w:rsidR="00B13BFA" w:rsidRPr="005D3BDE" w:rsidRDefault="00B13BFA" w:rsidP="00B13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Purity is lower</w:t>
            </w:r>
          </w:p>
          <w:p w14:paraId="6D263028" w14:textId="77777777" w:rsidR="00B13BFA" w:rsidRPr="005D3BDE" w:rsidRDefault="00B13BFA" w:rsidP="00B13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Unable to select cells with particular expression level of the marker (high, intermediate, low)</w:t>
            </w:r>
          </w:p>
          <w:p w14:paraId="6D126152" w14:textId="77777777" w:rsidR="00B13BFA" w:rsidRPr="005D3BDE" w:rsidRDefault="00B13BFA" w:rsidP="00B13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Does not work with GFP-positive and similar cells</w:t>
            </w:r>
          </w:p>
          <w:p w14:paraId="752C6B1D" w14:textId="77777777" w:rsidR="00B13BFA" w:rsidRPr="005D3BDE" w:rsidRDefault="00B13BFA" w:rsidP="00B13B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Viability if higher (the procedure is faster and no pressure applied)</w:t>
            </w:r>
          </w:p>
          <w:p w14:paraId="44164021" w14:textId="0FAB79D4" w:rsidR="00B13BFA" w:rsidRPr="005D3BDE" w:rsidRDefault="00B13BFA" w:rsidP="00D03B31">
            <w:pPr>
              <w:ind w:left="270" w:hanging="270"/>
              <w:rPr>
                <w:rFonts w:ascii="Times New Roman" w:hAnsi="Times New Roman" w:cs="Times New Roman"/>
              </w:rPr>
            </w:pPr>
            <w:r w:rsidRPr="005D3BDE">
              <w:rPr>
                <w:rFonts w:ascii="Times New Roman" w:hAnsi="Times New Roman" w:cs="Times New Roman"/>
                <w:i/>
              </w:rPr>
              <w:t xml:space="preserve">Notes: Cells tend to be more fragile after sorting. Handle cells gently to preserve cell heath and viability, which is critical for success of a 10x experiment. Cell loss during </w:t>
            </w:r>
            <w:r w:rsidR="005D3BDE">
              <w:rPr>
                <w:rFonts w:ascii="Times New Roman" w:hAnsi="Times New Roman" w:cs="Times New Roman"/>
                <w:i/>
              </w:rPr>
              <w:t>cell sorting</w:t>
            </w:r>
            <w:r w:rsidRPr="005D3BDE">
              <w:rPr>
                <w:rFonts w:ascii="Times New Roman" w:hAnsi="Times New Roman" w:cs="Times New Roman"/>
                <w:i/>
              </w:rPr>
              <w:t xml:space="preserve"> is common. Start with higher cell number.</w:t>
            </w:r>
          </w:p>
          <w:p w14:paraId="24A710ED" w14:textId="77777777" w:rsidR="00B13BFA" w:rsidRPr="005D3BDE" w:rsidRDefault="00B13BFA" w:rsidP="00D03B31">
            <w:pPr>
              <w:ind w:left="343" w:hanging="343"/>
              <w:rPr>
                <w:rFonts w:ascii="Times New Roman" w:hAnsi="Times New Roman" w:cs="Times New Roman"/>
                <w:b/>
              </w:rPr>
            </w:pPr>
          </w:p>
          <w:p w14:paraId="38410CE5" w14:textId="77777777" w:rsidR="00B13BFA" w:rsidRPr="005D3BDE" w:rsidRDefault="00B13BFA" w:rsidP="00D03B31">
            <w:pPr>
              <w:ind w:left="343" w:hanging="343"/>
              <w:rPr>
                <w:rFonts w:ascii="Times New Roman" w:hAnsi="Times New Roman" w:cs="Times New Roman"/>
                <w:b/>
              </w:rPr>
            </w:pPr>
            <w:r w:rsidRPr="005D3BDE">
              <w:rPr>
                <w:rFonts w:ascii="Times New Roman" w:hAnsi="Times New Roman" w:cs="Times New Roman"/>
                <w:b/>
              </w:rPr>
              <w:t>Procedure (based on 10x recommendations):</w:t>
            </w:r>
          </w:p>
          <w:p w14:paraId="32987AE5" w14:textId="77777777" w:rsidR="00B13BFA" w:rsidRPr="005D3BDE" w:rsidRDefault="00B13BFA" w:rsidP="00D03B31">
            <w:pPr>
              <w:ind w:left="343" w:hanging="343"/>
              <w:rPr>
                <w:rFonts w:ascii="Times New Roman" w:hAnsi="Times New Roman" w:cs="Times New Roman"/>
              </w:rPr>
            </w:pPr>
          </w:p>
          <w:p w14:paraId="1EAF6488" w14:textId="77777777" w:rsidR="00B13BFA" w:rsidRPr="005D3BDE" w:rsidRDefault="00B13BFA" w:rsidP="00B13BFA">
            <w:pPr>
              <w:pStyle w:val="ListParagraph"/>
              <w:numPr>
                <w:ilvl w:val="0"/>
                <w:numId w:val="1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Stain cells using appropriate protocol for cells/antibody, minimizing washing and centrifugation steps. For example, do not wash cell between the DNA dye and the antibody staining.</w:t>
            </w:r>
          </w:p>
          <w:p w14:paraId="49B077DE" w14:textId="77777777" w:rsidR="00B13BFA" w:rsidRPr="005D3BDE" w:rsidRDefault="00B13BFA" w:rsidP="00D03B31">
            <w:pPr>
              <w:pStyle w:val="ListParagraph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  <w:p w14:paraId="11F35DE9" w14:textId="77777777" w:rsidR="00B13BFA" w:rsidRPr="005D3BDE" w:rsidRDefault="00B13BFA" w:rsidP="00B13BFA">
            <w:pPr>
              <w:pStyle w:val="ListParagraph"/>
              <w:numPr>
                <w:ilvl w:val="0"/>
                <w:numId w:val="1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Sort based on purity as opposed to recovery, unless you need to increase cell viability. Aim to remove dead cells during sorting. Use a larger flow nozzle (e.g. 100µm) or run at 20 psi (or both). The flow rate may need to be increased if your cell population of interest is very low (&lt;0.01%) or sorting a lot of cells, so that the sorted cells do not sit for an extended period of time before running the assay. </w:t>
            </w:r>
          </w:p>
          <w:p w14:paraId="40667A74" w14:textId="77777777" w:rsidR="00B13BFA" w:rsidRPr="005D3BDE" w:rsidRDefault="00B13BFA" w:rsidP="00D03B31">
            <w:pPr>
              <w:pStyle w:val="ListParagraph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  <w:p w14:paraId="36748092" w14:textId="77777777" w:rsidR="00B13BFA" w:rsidRPr="005D3BDE" w:rsidRDefault="00B13BFA" w:rsidP="00B13B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Sort into a low volume and directly into the solution that you will use for loading on 10x Genomics instrument (e.g. PBS/0.04% BSA). Keep cells on ice from this point.</w:t>
            </w:r>
          </w:p>
          <w:p w14:paraId="2E751F02" w14:textId="77777777" w:rsidR="00B13BFA" w:rsidRPr="005D3BDE" w:rsidRDefault="00B13BFA" w:rsidP="00D03B31">
            <w:pPr>
              <w:ind w:firstLine="325"/>
              <w:rPr>
                <w:rFonts w:ascii="Times New Roman" w:hAnsi="Times New Roman" w:cs="Times New Roman"/>
              </w:rPr>
            </w:pPr>
            <w:r w:rsidRPr="005D3BDE">
              <w:rPr>
                <w:rFonts w:ascii="Times New Roman" w:hAnsi="Times New Roman" w:cs="Times New Roman"/>
                <w:i/>
              </w:rPr>
              <w:t xml:space="preserve">Notes: </w:t>
            </w:r>
            <w:r w:rsidRPr="005D3BDE">
              <w:rPr>
                <w:rFonts w:ascii="Times New Roman" w:hAnsi="Times New Roman" w:cs="Times New Roman"/>
              </w:rPr>
              <w:t xml:space="preserve">10-20 </w:t>
            </w:r>
            <w:proofErr w:type="spellStart"/>
            <w:r w:rsidRPr="005D3BDE">
              <w:rPr>
                <w:rFonts w:ascii="Times New Roman" w:hAnsi="Times New Roman" w:cs="Times New Roman"/>
              </w:rPr>
              <w:t>mln</w:t>
            </w:r>
            <w:proofErr w:type="spellEnd"/>
            <w:r w:rsidRPr="005D3BDE">
              <w:rPr>
                <w:rFonts w:ascii="Times New Roman" w:hAnsi="Times New Roman" w:cs="Times New Roman"/>
              </w:rPr>
              <w:t xml:space="preserve"> cells/ml give great data.</w:t>
            </w:r>
          </w:p>
          <w:p w14:paraId="5E334B85" w14:textId="77777777" w:rsidR="00B13BFA" w:rsidRPr="005D3BDE" w:rsidRDefault="00B13BFA" w:rsidP="00D03B31">
            <w:pPr>
              <w:ind w:firstLine="325"/>
              <w:rPr>
                <w:rFonts w:ascii="Times New Roman" w:hAnsi="Times New Roman" w:cs="Times New Roman"/>
              </w:rPr>
            </w:pPr>
            <w:r w:rsidRPr="005D3BDE">
              <w:rPr>
                <w:rFonts w:ascii="Times New Roman" w:hAnsi="Times New Roman" w:cs="Times New Roman"/>
              </w:rPr>
              <w:t>30-60 µl is the “dead” volume of the instrument.</w:t>
            </w:r>
          </w:p>
          <w:p w14:paraId="70E50534" w14:textId="77777777" w:rsidR="00B13BFA" w:rsidRPr="005D3BDE" w:rsidRDefault="00B13BFA" w:rsidP="00D03B31">
            <w:pPr>
              <w:rPr>
                <w:rFonts w:ascii="Times New Roman" w:hAnsi="Times New Roman" w:cs="Times New Roman"/>
              </w:rPr>
            </w:pPr>
          </w:p>
          <w:p w14:paraId="1D059E91" w14:textId="77777777" w:rsidR="00B13BFA" w:rsidRPr="005D3BDE" w:rsidRDefault="00B13BFA" w:rsidP="00B13BFA">
            <w:pPr>
              <w:pStyle w:val="ListParagraph"/>
              <w:numPr>
                <w:ilvl w:val="0"/>
                <w:numId w:val="1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5D3BDE">
              <w:rPr>
                <w:rFonts w:ascii="Times New Roman" w:hAnsi="Times New Roman"/>
                <w:sz w:val="24"/>
                <w:szCs w:val="24"/>
              </w:rPr>
              <w:t>Promptly load cells on 10x Genomics instrument.</w:t>
            </w:r>
          </w:p>
          <w:p w14:paraId="7BA0F21F" w14:textId="77777777" w:rsidR="00B13BFA" w:rsidRPr="005D3BDE" w:rsidRDefault="00B13BFA" w:rsidP="00D03B31">
            <w:pPr>
              <w:pStyle w:val="ListParagraph"/>
              <w:ind w:left="34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3BDE">
              <w:rPr>
                <w:rFonts w:ascii="Times New Roman" w:hAnsi="Times New Roman"/>
                <w:i/>
                <w:iCs/>
                <w:sz w:val="24"/>
                <w:szCs w:val="24"/>
              </w:rPr>
              <w:t>Don’t rely on cells counts from FACS as they are often overestimated (minimum 25%). Recount cells after sorting using hemocytometer.</w:t>
            </w:r>
          </w:p>
          <w:p w14:paraId="68757A1B" w14:textId="77777777" w:rsidR="00B13BFA" w:rsidRPr="00477B8F" w:rsidRDefault="00B13BFA" w:rsidP="00D03B31">
            <w:pPr>
              <w:pStyle w:val="ListParagraph"/>
              <w:spacing w:after="0" w:line="240" w:lineRule="auto"/>
              <w:ind w:left="347" w:firstLine="13"/>
              <w:rPr>
                <w:rFonts w:ascii="Times New Roman" w:hAnsi="Times New Roman"/>
                <w:sz w:val="24"/>
                <w:szCs w:val="24"/>
              </w:rPr>
            </w:pPr>
            <w:r w:rsidRPr="00477B8F">
              <w:rPr>
                <w:rFonts w:ascii="Times New Roman" w:hAnsi="Times New Roman"/>
                <w:i/>
                <w:sz w:val="24"/>
                <w:szCs w:val="24"/>
              </w:rPr>
              <w:t>Checkpoints:</w:t>
            </w:r>
            <w:r w:rsidRPr="00477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B8F">
              <w:rPr>
                <w:rFonts w:ascii="Times New Roman" w:hAnsi="Times New Roman"/>
                <w:sz w:val="24"/>
                <w:szCs w:val="24"/>
                <w:u w:val="single"/>
              </w:rPr>
              <w:t>Counting with Trypan Blue</w:t>
            </w:r>
            <w:r w:rsidRPr="00477B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DA5EE8" w14:textId="77777777" w:rsidR="00B13BFA" w:rsidRPr="00477B8F" w:rsidRDefault="00B13BFA" w:rsidP="00D03B31">
            <w:pPr>
              <w:pStyle w:val="ListParagraph"/>
              <w:spacing w:after="0" w:line="240" w:lineRule="auto"/>
              <w:ind w:left="347"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8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Immunofluorescent labeling</w:t>
            </w:r>
            <w:r w:rsidRPr="00405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14:paraId="3D77E936" w14:textId="77777777" w:rsidR="00B13BFA" w:rsidRPr="004056CD" w:rsidRDefault="00B13BFA" w:rsidP="00D03B31"/>
          <w:p w14:paraId="3C3A8B11" w14:textId="77777777" w:rsidR="00B13BFA" w:rsidRPr="004056CD" w:rsidRDefault="00B13BFA" w:rsidP="00D03B31"/>
          <w:p w14:paraId="2CF5EBD6" w14:textId="77777777" w:rsidR="00B13BFA" w:rsidRPr="005D3BDE" w:rsidRDefault="00B13BFA" w:rsidP="00D03B31">
            <w:pPr>
              <w:rPr>
                <w:rFonts w:ascii="Times New Roman" w:hAnsi="Times New Roman" w:cs="Times New Roman"/>
                <w:b/>
              </w:rPr>
            </w:pPr>
            <w:r w:rsidRPr="005D3BDE">
              <w:rPr>
                <w:rFonts w:ascii="Times New Roman" w:hAnsi="Times New Roman" w:cs="Times New Roman"/>
                <w:b/>
              </w:rPr>
              <w:t>Reagents:</w:t>
            </w:r>
          </w:p>
          <w:p w14:paraId="7165305B" w14:textId="77777777" w:rsidR="00B13BFA" w:rsidRPr="005D3BDE" w:rsidRDefault="00B13BFA" w:rsidP="00D03B31">
            <w:pPr>
              <w:rPr>
                <w:rFonts w:ascii="Times New Roman" w:hAnsi="Times New Roman" w:cs="Times New Roman"/>
                <w:b/>
              </w:rPr>
            </w:pPr>
          </w:p>
          <w:p w14:paraId="51FCF510" w14:textId="77777777" w:rsidR="00B13BFA" w:rsidRPr="005D3BDE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525721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CE5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177CE5">
              <w:rPr>
                <w:rFonts w:ascii="Times New Roman" w:hAnsi="Times New Roman"/>
                <w:sz w:val="24"/>
                <w:szCs w:val="24"/>
                <w:u w:val="single"/>
              </w:rPr>
              <w:t>Sneath fluid</w:t>
            </w:r>
            <w:r w:rsidRPr="00177CE5">
              <w:rPr>
                <w:rFonts w:ascii="Times New Roman" w:hAnsi="Times New Roman"/>
                <w:sz w:val="24"/>
                <w:szCs w:val="24"/>
              </w:rPr>
              <w:t xml:space="preserve"> that has</w:t>
            </w:r>
          </w:p>
          <w:p w14:paraId="21E5718B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CE5">
              <w:rPr>
                <w:rFonts w:ascii="Times New Roman" w:hAnsi="Times New Roman"/>
                <w:sz w:val="24"/>
                <w:szCs w:val="24"/>
              </w:rPr>
              <w:t xml:space="preserve">&lt; 0.1 mM EDTA </w:t>
            </w:r>
          </w:p>
          <w:p w14:paraId="7A41B257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CE5">
              <w:rPr>
                <w:rFonts w:ascii="Times New Roman" w:hAnsi="Times New Roman"/>
                <w:sz w:val="24"/>
                <w:szCs w:val="24"/>
              </w:rPr>
              <w:t>&lt; 3 mM Mg</w:t>
            </w:r>
            <w:r w:rsidRPr="00177CE5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177C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63B36F" w14:textId="77777777" w:rsidR="00B13BFA" w:rsidRPr="00577FB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A">
              <w:rPr>
                <w:rFonts w:ascii="Times New Roman" w:hAnsi="Times New Roman"/>
                <w:sz w:val="24"/>
                <w:szCs w:val="24"/>
              </w:rPr>
              <w:t>consult the Flow Cytometry Core</w:t>
            </w:r>
          </w:p>
          <w:p w14:paraId="1CE77EAC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F33BB0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7CE5">
              <w:rPr>
                <w:rFonts w:ascii="Times New Roman" w:hAnsi="Times New Roman"/>
                <w:sz w:val="24"/>
                <w:szCs w:val="24"/>
                <w:u w:val="single"/>
              </w:rPr>
              <w:t>Fluorescent antibodies of interest</w:t>
            </w:r>
          </w:p>
          <w:p w14:paraId="4945B969" w14:textId="77777777" w:rsidR="00B13BF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(optimize dilution)</w:t>
            </w:r>
          </w:p>
          <w:p w14:paraId="12E6CF55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ACAFB8" w14:textId="77777777" w:rsidR="00B13BFA" w:rsidRPr="00577FB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A">
              <w:rPr>
                <w:rFonts w:ascii="Times New Roman" w:hAnsi="Times New Roman"/>
                <w:sz w:val="24"/>
                <w:szCs w:val="24"/>
              </w:rPr>
              <w:t>Always include</w:t>
            </w:r>
          </w:p>
          <w:p w14:paraId="6ADDF664" w14:textId="77777777" w:rsidR="00B13BF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DNA dyes</w:t>
            </w:r>
            <w:r w:rsidRPr="00177C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for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dead </w:t>
            </w:r>
            <w:r w:rsidRPr="00177CE5">
              <w:rPr>
                <w:rFonts w:ascii="Times New Roman" w:hAnsi="Times New Roman"/>
                <w:sz w:val="24"/>
                <w:szCs w:val="24"/>
                <w:u w:val="single"/>
              </w:rPr>
              <w:t>cell</w:t>
            </w:r>
            <w:r w:rsidRPr="00177CE5">
              <w:rPr>
                <w:rFonts w:ascii="Times New Roman" w:hAnsi="Times New Roman"/>
                <w:sz w:val="24"/>
                <w:szCs w:val="24"/>
              </w:rPr>
              <w:t>s, which are compatible with the antibodies used for sorting</w:t>
            </w:r>
            <w:r>
              <w:rPr>
                <w:rFonts w:ascii="Times New Roman" w:hAnsi="Times New Roman"/>
                <w:sz w:val="24"/>
                <w:szCs w:val="24"/>
              </w:rPr>
              <w:t>. See info about Zombie Dyes at</w:t>
            </w:r>
          </w:p>
          <w:p w14:paraId="60423E48" w14:textId="77777777" w:rsidR="00B13BFA" w:rsidRDefault="00B26073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13BFA" w:rsidRPr="00F379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https://www.biolegend.com/en-us/live-dead</w:t>
              </w:r>
            </w:hyperlink>
          </w:p>
          <w:p w14:paraId="685C35FB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(optimize dilution)</w:t>
            </w:r>
          </w:p>
          <w:p w14:paraId="348FD89E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75F799" w14:textId="77777777" w:rsidR="00B13BFA" w:rsidRPr="00177CE5" w:rsidRDefault="00B13BFA" w:rsidP="00D03B31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177CE5">
              <w:rPr>
                <w:rFonts w:ascii="Times New Roman" w:hAnsi="Times New Roman" w:cs="Times New Roman"/>
                <w:u w:val="single"/>
              </w:rPr>
              <w:t>PBS/0.04% BSA</w:t>
            </w:r>
          </w:p>
          <w:p w14:paraId="01A86607" w14:textId="77777777" w:rsidR="00B13BFA" w:rsidRPr="00177CE5" w:rsidRDefault="00B13BFA" w:rsidP="00D03B31">
            <w:pPr>
              <w:pStyle w:val="Title"/>
              <w:jc w:val="left"/>
              <w:rPr>
                <w:b w:val="0"/>
                <w:szCs w:val="24"/>
                <w:lang w:val="sv-SE"/>
              </w:rPr>
            </w:pPr>
            <w:r w:rsidRPr="00177CE5">
              <w:rPr>
                <w:b w:val="0"/>
                <w:szCs w:val="24"/>
                <w:lang w:val="sv-SE"/>
              </w:rPr>
              <w:t>10 mL:</w:t>
            </w:r>
          </w:p>
          <w:p w14:paraId="345ECBEC" w14:textId="77777777" w:rsidR="00B13BFA" w:rsidRPr="00177CE5" w:rsidRDefault="00B13BFA" w:rsidP="00D03B31">
            <w:pPr>
              <w:pStyle w:val="Title"/>
              <w:jc w:val="left"/>
              <w:rPr>
                <w:b w:val="0"/>
                <w:szCs w:val="24"/>
                <w:lang w:val="sv-SE"/>
              </w:rPr>
            </w:pPr>
            <w:r w:rsidRPr="00177CE5">
              <w:rPr>
                <w:b w:val="0"/>
                <w:szCs w:val="24"/>
                <w:lang w:val="sv-SE"/>
              </w:rPr>
              <w:t>9.99 mL 1x PBS</w:t>
            </w:r>
          </w:p>
          <w:p w14:paraId="33C1EB1D" w14:textId="77777777" w:rsidR="00B13BFA" w:rsidRPr="00177CE5" w:rsidRDefault="00B13BFA" w:rsidP="00D03B31">
            <w:pPr>
              <w:pStyle w:val="Title"/>
              <w:jc w:val="left"/>
              <w:rPr>
                <w:b w:val="0"/>
                <w:szCs w:val="24"/>
              </w:rPr>
            </w:pPr>
            <w:r w:rsidRPr="00177CE5">
              <w:rPr>
                <w:b w:val="0"/>
                <w:szCs w:val="24"/>
              </w:rPr>
              <w:t>40 µL BSA 10% (Sigma, #</w:t>
            </w:r>
            <w:r w:rsidRPr="00177CE5">
              <w:rPr>
                <w:szCs w:val="24"/>
              </w:rPr>
              <w:t xml:space="preserve"> </w:t>
            </w:r>
            <w:r w:rsidRPr="00177CE5">
              <w:rPr>
                <w:b w:val="0"/>
                <w:szCs w:val="24"/>
              </w:rPr>
              <w:t>A1595)</w:t>
            </w:r>
          </w:p>
          <w:p w14:paraId="3165765D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7AA02C" w14:textId="77777777" w:rsidR="00B13BF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7CE5">
              <w:rPr>
                <w:rFonts w:ascii="Times New Roman" w:hAnsi="Times New Roman"/>
                <w:b/>
                <w:sz w:val="24"/>
                <w:szCs w:val="24"/>
              </w:rPr>
              <w:t>Instruments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75F73AB" w14:textId="77777777" w:rsidR="00B13BFA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52162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E558C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CE5">
              <w:rPr>
                <w:rFonts w:ascii="Times New Roman" w:hAnsi="Times New Roman"/>
                <w:sz w:val="24"/>
                <w:szCs w:val="24"/>
                <w:u w:val="single"/>
              </w:rPr>
              <w:t>MoFlo</w:t>
            </w:r>
            <w:proofErr w:type="spellEnd"/>
            <w:r w:rsidRPr="00177C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77CE5">
              <w:rPr>
                <w:rFonts w:ascii="Times New Roman" w:hAnsi="Times New Roman"/>
                <w:sz w:val="24"/>
                <w:szCs w:val="24"/>
              </w:rPr>
              <w:t>Astrios</w:t>
            </w:r>
            <w:proofErr w:type="spellEnd"/>
            <w:r w:rsidRPr="00177CE5">
              <w:rPr>
                <w:rFonts w:ascii="Times New Roman" w:hAnsi="Times New Roman"/>
                <w:sz w:val="24"/>
                <w:szCs w:val="24"/>
              </w:rPr>
              <w:t>) cell sorter is designed for fast sorting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Still, sorting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cells will require ~90 minutes (consider cell viability)</w:t>
            </w:r>
          </w:p>
          <w:p w14:paraId="6A64D31B" w14:textId="77777777" w:rsidR="00B13BFA" w:rsidRPr="00177CE5" w:rsidRDefault="00B13BFA" w:rsidP="00D03B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CE5">
              <w:rPr>
                <w:rFonts w:ascii="Times New Roman" w:hAnsi="Times New Roman"/>
                <w:i/>
                <w:sz w:val="24"/>
                <w:szCs w:val="24"/>
              </w:rPr>
              <w:t>Book the sorter with Flow Cytometry Core 2 weeks in advance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An FCC staff person will be available to run your samples. Promptly collect the samples once the run is finished.</w:t>
            </w:r>
          </w:p>
          <w:p w14:paraId="3903A2E7" w14:textId="77777777" w:rsidR="00B13BFA" w:rsidRPr="00E25FCD" w:rsidRDefault="00B13BFA" w:rsidP="00D03B31">
            <w:pPr>
              <w:pStyle w:val="ListParagraph"/>
              <w:tabs>
                <w:tab w:val="left" w:pos="2847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55FF62BC" w14:textId="77777777" w:rsidR="00B13BFA" w:rsidRDefault="00B13BFA" w:rsidP="00B13BFA">
      <w:pPr>
        <w:rPr>
          <w:sz w:val="20"/>
          <w:szCs w:val="20"/>
        </w:rPr>
      </w:pPr>
    </w:p>
    <w:p w14:paraId="16730547" w14:textId="01062CA5" w:rsidR="00FB1535" w:rsidRPr="005D3BDE" w:rsidRDefault="00B13BFA" w:rsidP="005D3BDE">
      <w:pPr>
        <w:ind w:left="270" w:hanging="270"/>
        <w:rPr>
          <w:i/>
        </w:rPr>
      </w:pPr>
      <w:r>
        <w:rPr>
          <w:b/>
          <w:i/>
          <w:u w:val="single"/>
        </w:rPr>
        <w:t xml:space="preserve">* </w:t>
      </w:r>
      <w:r w:rsidRPr="00FD01B9">
        <w:rPr>
          <w:i/>
        </w:rPr>
        <w:t xml:space="preserve">If you have performed </w:t>
      </w:r>
      <w:proofErr w:type="spellStart"/>
      <w:r w:rsidRPr="00FD01B9">
        <w:rPr>
          <w:i/>
        </w:rPr>
        <w:t>scRNA</w:t>
      </w:r>
      <w:proofErr w:type="spellEnd"/>
      <w:r w:rsidRPr="00FD01B9">
        <w:rPr>
          <w:i/>
        </w:rPr>
        <w:t>-seq already, you may be able to identify a cell surface marker for the population of interest</w:t>
      </w:r>
      <w:r>
        <w:rPr>
          <w:i/>
        </w:rPr>
        <w:t>. In this case, you can also use the FFC facility. Cell sorting</w:t>
      </w:r>
      <w:r w:rsidRPr="00FD01B9">
        <w:rPr>
          <w:i/>
        </w:rPr>
        <w:t xml:space="preserve"> based on this marker </w:t>
      </w:r>
      <w:r>
        <w:rPr>
          <w:i/>
        </w:rPr>
        <w:t xml:space="preserve">may be used </w:t>
      </w:r>
      <w:r w:rsidRPr="00FD01B9">
        <w:rPr>
          <w:i/>
        </w:rPr>
        <w:t>for assa</w:t>
      </w:r>
      <w:r>
        <w:rPr>
          <w:i/>
        </w:rPr>
        <w:t>y</w:t>
      </w:r>
      <w:r w:rsidRPr="00FD01B9">
        <w:rPr>
          <w:i/>
        </w:rPr>
        <w:t xml:space="preserve">s that don’t distinguish between individual cells (bulk) or </w:t>
      </w:r>
      <w:r>
        <w:rPr>
          <w:i/>
        </w:rPr>
        <w:t xml:space="preserve">for </w:t>
      </w:r>
      <w:r w:rsidRPr="00FD01B9">
        <w:rPr>
          <w:i/>
        </w:rPr>
        <w:t xml:space="preserve">additional </w:t>
      </w:r>
      <w:proofErr w:type="spellStart"/>
      <w:r w:rsidRPr="00FD01B9">
        <w:rPr>
          <w:i/>
        </w:rPr>
        <w:t>scRNA</w:t>
      </w:r>
      <w:proofErr w:type="spellEnd"/>
      <w:r w:rsidRPr="00FD01B9">
        <w:rPr>
          <w:i/>
        </w:rPr>
        <w:t>-seq focused on that cell population!</w:t>
      </w:r>
    </w:p>
    <w:sectPr w:rsidR="00FB1535" w:rsidRPr="005D3BDE" w:rsidSect="00CE5555">
      <w:headerReference w:type="default" r:id="rId8"/>
      <w:footerReference w:type="even" r:id="rId9"/>
      <w:footerReference w:type="default" r:id="rId10"/>
      <w:pgSz w:w="12240" w:h="15840"/>
      <w:pgMar w:top="720" w:right="1800" w:bottom="806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ACFF" w14:textId="77777777" w:rsidR="00000000" w:rsidRDefault="00B26073">
      <w:r>
        <w:separator/>
      </w:r>
    </w:p>
  </w:endnote>
  <w:endnote w:type="continuationSeparator" w:id="0">
    <w:p w14:paraId="4F430370" w14:textId="77777777" w:rsidR="00000000" w:rsidRDefault="00B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swiss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286" w14:textId="77777777" w:rsidR="004E24AD" w:rsidRDefault="005D3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B9EB6" w14:textId="77777777" w:rsidR="004E24AD" w:rsidRDefault="00B26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F50" w14:textId="77777777" w:rsidR="004E24AD" w:rsidRDefault="005D3B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D83D0E" w14:textId="77777777" w:rsidR="004E24AD" w:rsidRDefault="005D3BDE">
    <w:pPr>
      <w:pStyle w:val="Footer"/>
      <w:ind w:right="360"/>
      <w:jc w:val="right"/>
    </w:pPr>
    <w:r w:rsidRPr="00A37423">
      <w:t>Cell sorting before 10x Genomics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7FD6" w14:textId="77777777" w:rsidR="00000000" w:rsidRDefault="00B26073">
      <w:r>
        <w:separator/>
      </w:r>
    </w:p>
  </w:footnote>
  <w:footnote w:type="continuationSeparator" w:id="0">
    <w:p w14:paraId="00870191" w14:textId="77777777" w:rsidR="00000000" w:rsidRDefault="00B2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1E5" w14:textId="77777777" w:rsidR="00CE5555" w:rsidRDefault="00B26073">
    <w:pPr>
      <w:pStyle w:val="Header"/>
      <w:jc w:val="right"/>
    </w:pPr>
  </w:p>
  <w:p w14:paraId="44C39255" w14:textId="77777777" w:rsidR="004E24AD" w:rsidRDefault="00B260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ADE"/>
    <w:multiLevelType w:val="hybridMultilevel"/>
    <w:tmpl w:val="02CED6AC"/>
    <w:lvl w:ilvl="0" w:tplc="299CC87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2C5"/>
    <w:multiLevelType w:val="hybridMultilevel"/>
    <w:tmpl w:val="750A97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FA"/>
    <w:rsid w:val="005D3BDE"/>
    <w:rsid w:val="006D6B9D"/>
    <w:rsid w:val="00970686"/>
    <w:rsid w:val="00B13BFA"/>
    <w:rsid w:val="00B26073"/>
    <w:rsid w:val="00D616C1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470A"/>
  <w14:defaultImageDpi w14:val="32767"/>
  <w15:chartTrackingRefBased/>
  <w15:docId w15:val="{7E121A19-FB93-6443-B2F1-46E22C5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3BFA"/>
    <w:pPr>
      <w:keepNext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FA"/>
    <w:rPr>
      <w:rFonts w:ascii="Times New Roman" w:eastAsia="Times New Roman" w:hAnsi="Times New Roman" w:cs="Times New Roman"/>
      <w:b/>
      <w:sz w:val="36"/>
    </w:rPr>
  </w:style>
  <w:style w:type="paragraph" w:styleId="Header">
    <w:name w:val="header"/>
    <w:basedOn w:val="Normal"/>
    <w:link w:val="HeaderChar"/>
    <w:rsid w:val="00B13BF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13B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13BF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B13BF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13BFA"/>
  </w:style>
  <w:style w:type="paragraph" w:styleId="ListParagraph">
    <w:name w:val="List Paragraph"/>
    <w:basedOn w:val="Normal"/>
    <w:uiPriority w:val="34"/>
    <w:qFormat/>
    <w:rsid w:val="00B13BFA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B13BFA"/>
    <w:pPr>
      <w:autoSpaceDE w:val="0"/>
      <w:autoSpaceDN w:val="0"/>
      <w:adjustRightInd w:val="0"/>
    </w:pPr>
    <w:rPr>
      <w:rFonts w:ascii="DIN Next LT Pro" w:eastAsia="Times" w:hAnsi="DIN Next LT Pro" w:cs="DIN Next LT Pro"/>
      <w:color w:val="000000"/>
    </w:rPr>
  </w:style>
  <w:style w:type="paragraph" w:styleId="Title">
    <w:name w:val="Title"/>
    <w:basedOn w:val="Normal"/>
    <w:link w:val="TitleChar"/>
    <w:qFormat/>
    <w:rsid w:val="00B13BFA"/>
    <w:pPr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13BFA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rsid w:val="00B13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legend.com/en-us/live-de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CAFFERATA,JULIE (Agilent USA)</cp:lastModifiedBy>
  <cp:revision>2</cp:revision>
  <dcterms:created xsi:type="dcterms:W3CDTF">2022-02-25T13:16:00Z</dcterms:created>
  <dcterms:modified xsi:type="dcterms:W3CDTF">2022-02-25T13:16:00Z</dcterms:modified>
</cp:coreProperties>
</file>